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charts/chart2.xml" ContentType="application/vnd.openxmlformats-officedocument.drawingml.chart+xml"/>
  <Override PartName="/word/drawings/drawing2.xml" ContentType="application/vnd.openxmlformats-officedocument.drawingml.chartshap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477114" w14:textId="77777777" w:rsidR="002E457B" w:rsidRDefault="002E457B" w:rsidP="004501A9">
      <w:pPr>
        <w:rPr>
          <w:rFonts w:ascii="Arial" w:hAnsi="Arial" w:cs="Arial"/>
          <w:i/>
          <w:iCs/>
          <w:sz w:val="24"/>
          <w:szCs w:val="24"/>
        </w:rPr>
      </w:pPr>
    </w:p>
    <w:p w14:paraId="029972CA" w14:textId="0F65EE07" w:rsidR="001633B5" w:rsidRDefault="006A0E1D" w:rsidP="004501A9">
      <w:pPr>
        <w:rPr>
          <w:rFonts w:ascii="Arial" w:hAnsi="Arial" w:cs="Arial"/>
          <w:i/>
          <w:iCs/>
          <w:sz w:val="24"/>
          <w:szCs w:val="24"/>
        </w:rPr>
      </w:pPr>
      <w:r>
        <w:rPr>
          <w:rFonts w:ascii="Palatino Linotype" w:hAnsi="Palatino Linotype"/>
          <w:noProof/>
        </w:rPr>
        <w:drawing>
          <wp:inline distT="0" distB="0" distL="0" distR="0" wp14:anchorId="020722EF" wp14:editId="33F98D09">
            <wp:extent cx="6120130" cy="4001770"/>
            <wp:effectExtent l="0" t="0" r="0" b="0"/>
            <wp:docPr id="695496670" name="Immagine 1" descr="Immagine che contiene testo, schermata, Carat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5496670" name="Immagine 1" descr="Immagine che contiene testo, schermata, Carattere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 r:link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001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9168D3" w14:textId="07A4631F" w:rsidR="001633B5" w:rsidRDefault="001633B5" w:rsidP="004501A9">
      <w:pPr>
        <w:rPr>
          <w:rFonts w:ascii="Arial" w:hAnsi="Arial" w:cs="Arial"/>
          <w:i/>
          <w:iCs/>
          <w:sz w:val="24"/>
          <w:szCs w:val="24"/>
        </w:rPr>
      </w:pPr>
    </w:p>
    <w:p w14:paraId="69175927" w14:textId="77777777" w:rsidR="00612FF7" w:rsidRDefault="00612FF7" w:rsidP="004501A9">
      <w:pPr>
        <w:rPr>
          <w:rFonts w:ascii="Arial" w:hAnsi="Arial" w:cs="Arial"/>
          <w:i/>
          <w:iCs/>
          <w:sz w:val="24"/>
          <w:szCs w:val="24"/>
        </w:rPr>
      </w:pPr>
    </w:p>
    <w:p w14:paraId="645B03B1" w14:textId="12A97A84" w:rsidR="00612FF7" w:rsidRDefault="00612FF7" w:rsidP="004501A9">
      <w:pPr>
        <w:rPr>
          <w:rFonts w:ascii="Arial" w:hAnsi="Arial" w:cs="Arial"/>
          <w:i/>
          <w:iCs/>
          <w:sz w:val="24"/>
          <w:szCs w:val="24"/>
        </w:rPr>
      </w:pPr>
      <w:r w:rsidRPr="006844F5">
        <w:rPr>
          <w:rFonts w:ascii="Palatino Linotype" w:hAnsi="Palatino Linotype"/>
          <w:noProof/>
        </w:rPr>
        <w:drawing>
          <wp:inline distT="0" distB="0" distL="0" distR="0" wp14:anchorId="0ACDCBEF" wp14:editId="702F741F">
            <wp:extent cx="6120130" cy="3996690"/>
            <wp:effectExtent l="0" t="0" r="13970" b="3810"/>
            <wp:docPr id="352769953" name="Grafico 1">
              <a:extLst xmlns:a="http://schemas.openxmlformats.org/drawingml/2006/main">
                <a:ext uri="{FF2B5EF4-FFF2-40B4-BE49-F238E27FC236}">
                  <a16:creationId xmlns:a16="http://schemas.microsoft.com/office/drawing/2014/main" id="{3C62663B-853D-8C31-A5C1-2E07B21A76F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4A2A8C19" w14:textId="77777777" w:rsidR="00FA3D23" w:rsidRDefault="00FA3D23" w:rsidP="004501A9">
      <w:pPr>
        <w:rPr>
          <w:rFonts w:ascii="Arial" w:hAnsi="Arial" w:cs="Arial"/>
          <w:i/>
          <w:iCs/>
          <w:sz w:val="24"/>
          <w:szCs w:val="24"/>
        </w:rPr>
      </w:pPr>
    </w:p>
    <w:p w14:paraId="7DDF06AC" w14:textId="77777777" w:rsidR="00FA3D23" w:rsidRDefault="00FA3D23" w:rsidP="004501A9">
      <w:pPr>
        <w:rPr>
          <w:rFonts w:ascii="Arial" w:hAnsi="Arial" w:cs="Arial"/>
          <w:i/>
          <w:iCs/>
          <w:sz w:val="24"/>
          <w:szCs w:val="24"/>
        </w:rPr>
      </w:pPr>
    </w:p>
    <w:p w14:paraId="2F223600" w14:textId="4E7E5D77" w:rsidR="00FA3D23" w:rsidRPr="004501A9" w:rsidRDefault="00FA3D23" w:rsidP="004501A9">
      <w:pPr>
        <w:rPr>
          <w:rFonts w:ascii="Arial" w:hAnsi="Arial" w:cs="Arial"/>
          <w:i/>
          <w:iCs/>
          <w:sz w:val="24"/>
          <w:szCs w:val="24"/>
        </w:rPr>
      </w:pPr>
      <w:r w:rsidRPr="006844F5">
        <w:rPr>
          <w:rFonts w:ascii="Palatino Linotype" w:hAnsi="Palatino Linotype"/>
          <w:noProof/>
        </w:rPr>
        <w:drawing>
          <wp:inline distT="0" distB="0" distL="0" distR="0" wp14:anchorId="60D4724C" wp14:editId="778FA6C7">
            <wp:extent cx="6120130" cy="3996690"/>
            <wp:effectExtent l="0" t="0" r="0" b="3810"/>
            <wp:docPr id="1696157566" name="Grafico 1">
              <a:extLst xmlns:a="http://schemas.openxmlformats.org/drawingml/2006/main">
                <a:ext uri="{FF2B5EF4-FFF2-40B4-BE49-F238E27FC236}">
                  <a16:creationId xmlns:a16="http://schemas.microsoft.com/office/drawing/2014/main" id="{2F92DCC7-D703-8419-95C0-9369C3D51E6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sectPr w:rsidR="00FA3D23" w:rsidRPr="004501A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01A9"/>
    <w:rsid w:val="0000454F"/>
    <w:rsid w:val="00012471"/>
    <w:rsid w:val="00014250"/>
    <w:rsid w:val="000142AE"/>
    <w:rsid w:val="00053990"/>
    <w:rsid w:val="000669B9"/>
    <w:rsid w:val="00073859"/>
    <w:rsid w:val="00083F2A"/>
    <w:rsid w:val="000C28B6"/>
    <w:rsid w:val="000C44C3"/>
    <w:rsid w:val="000C6CDA"/>
    <w:rsid w:val="000F49D2"/>
    <w:rsid w:val="00103F57"/>
    <w:rsid w:val="00126884"/>
    <w:rsid w:val="001633B5"/>
    <w:rsid w:val="00166B10"/>
    <w:rsid w:val="001A0196"/>
    <w:rsid w:val="001B1BEA"/>
    <w:rsid w:val="001D16DD"/>
    <w:rsid w:val="001E340D"/>
    <w:rsid w:val="001E4FDF"/>
    <w:rsid w:val="001F171E"/>
    <w:rsid w:val="001F5B37"/>
    <w:rsid w:val="00201C40"/>
    <w:rsid w:val="002348BA"/>
    <w:rsid w:val="0025549B"/>
    <w:rsid w:val="00261B2A"/>
    <w:rsid w:val="002656D8"/>
    <w:rsid w:val="00285BDC"/>
    <w:rsid w:val="002930B0"/>
    <w:rsid w:val="002D6867"/>
    <w:rsid w:val="002E457B"/>
    <w:rsid w:val="0030099D"/>
    <w:rsid w:val="00302B45"/>
    <w:rsid w:val="00335A77"/>
    <w:rsid w:val="00341587"/>
    <w:rsid w:val="00365081"/>
    <w:rsid w:val="003939D0"/>
    <w:rsid w:val="003A1037"/>
    <w:rsid w:val="003C2236"/>
    <w:rsid w:val="003F6B84"/>
    <w:rsid w:val="00400ED5"/>
    <w:rsid w:val="00402036"/>
    <w:rsid w:val="0041288E"/>
    <w:rsid w:val="004501A9"/>
    <w:rsid w:val="004535B6"/>
    <w:rsid w:val="004A4401"/>
    <w:rsid w:val="004C65D9"/>
    <w:rsid w:val="004E2210"/>
    <w:rsid w:val="00524B90"/>
    <w:rsid w:val="005D799B"/>
    <w:rsid w:val="005F0E9D"/>
    <w:rsid w:val="005F2C2C"/>
    <w:rsid w:val="00611636"/>
    <w:rsid w:val="00612FF7"/>
    <w:rsid w:val="00615D0E"/>
    <w:rsid w:val="00616FA0"/>
    <w:rsid w:val="006629D0"/>
    <w:rsid w:val="00675C6D"/>
    <w:rsid w:val="00685398"/>
    <w:rsid w:val="0069140F"/>
    <w:rsid w:val="006A0E1D"/>
    <w:rsid w:val="006C76E0"/>
    <w:rsid w:val="006E078C"/>
    <w:rsid w:val="006E65C4"/>
    <w:rsid w:val="006F2C81"/>
    <w:rsid w:val="00711607"/>
    <w:rsid w:val="007307A4"/>
    <w:rsid w:val="00730830"/>
    <w:rsid w:val="00750DA6"/>
    <w:rsid w:val="00752444"/>
    <w:rsid w:val="00753B24"/>
    <w:rsid w:val="0075604F"/>
    <w:rsid w:val="00784EEB"/>
    <w:rsid w:val="007B50E4"/>
    <w:rsid w:val="007C5E6A"/>
    <w:rsid w:val="00825E9B"/>
    <w:rsid w:val="00831EAB"/>
    <w:rsid w:val="0083675D"/>
    <w:rsid w:val="00851B39"/>
    <w:rsid w:val="00853655"/>
    <w:rsid w:val="00881E79"/>
    <w:rsid w:val="008A6B64"/>
    <w:rsid w:val="008A7DED"/>
    <w:rsid w:val="008C142C"/>
    <w:rsid w:val="008C1EEE"/>
    <w:rsid w:val="00914290"/>
    <w:rsid w:val="00950ADB"/>
    <w:rsid w:val="00974AD8"/>
    <w:rsid w:val="00976533"/>
    <w:rsid w:val="009F39ED"/>
    <w:rsid w:val="00A22EC8"/>
    <w:rsid w:val="00A64DD9"/>
    <w:rsid w:val="00AA19D8"/>
    <w:rsid w:val="00AF4C1E"/>
    <w:rsid w:val="00B15EA6"/>
    <w:rsid w:val="00B2052A"/>
    <w:rsid w:val="00B23375"/>
    <w:rsid w:val="00B3153F"/>
    <w:rsid w:val="00C92827"/>
    <w:rsid w:val="00C9483B"/>
    <w:rsid w:val="00D23750"/>
    <w:rsid w:val="00D70ECB"/>
    <w:rsid w:val="00DB0EAB"/>
    <w:rsid w:val="00DC7CD6"/>
    <w:rsid w:val="00DD58FE"/>
    <w:rsid w:val="00DF01A0"/>
    <w:rsid w:val="00E00F57"/>
    <w:rsid w:val="00E07F20"/>
    <w:rsid w:val="00E22930"/>
    <w:rsid w:val="00E41B94"/>
    <w:rsid w:val="00E543DC"/>
    <w:rsid w:val="00E545A4"/>
    <w:rsid w:val="00E615D2"/>
    <w:rsid w:val="00EB6A44"/>
    <w:rsid w:val="00ED20E9"/>
    <w:rsid w:val="00EE581F"/>
    <w:rsid w:val="00EF613C"/>
    <w:rsid w:val="00F241DC"/>
    <w:rsid w:val="00F25242"/>
    <w:rsid w:val="00F42A5E"/>
    <w:rsid w:val="00F60040"/>
    <w:rsid w:val="00F63B45"/>
    <w:rsid w:val="00F7756B"/>
    <w:rsid w:val="00F84019"/>
    <w:rsid w:val="00F87282"/>
    <w:rsid w:val="00FA3D23"/>
    <w:rsid w:val="00FC03D3"/>
    <w:rsid w:val="00FC71D3"/>
    <w:rsid w:val="00FD1CE9"/>
    <w:rsid w:val="00FD2EA4"/>
    <w:rsid w:val="00FD5FB6"/>
    <w:rsid w:val="00FE6042"/>
    <w:rsid w:val="00FF5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1CF757"/>
  <w15:chartTrackingRefBased/>
  <w15:docId w15:val="{05C60A75-F637-4013-B32B-16D8DBEAF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chart" Target="charts/chart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5" Type="http://schemas.openxmlformats.org/officeDocument/2006/relationships/image" Target="cid:image012.png@01D9E4BB.25977340" TargetMode="External"/><Relationship Id="rId4" Type="http://schemas.openxmlformats.org/officeDocument/2006/relationships/image" Target="media/image1.gif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\\zeus\ConfindustriaBergamo\STCI\1.%20STUDI\5.%20indagini%20e%20survey\2.%20Internazionalizzazione%20Confindustria%20Lombardia\2023\3.%20Elaborazione%20BG\BERGAMO_2.xlsx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2.xml"/><Relationship Id="rId1" Type="http://schemas.openxmlformats.org/officeDocument/2006/relationships/oleObject" Target="file:///\\zeus\ConfindustriaBergamo\STCI\1.%20STUDI\5.%20indagini%20e%20survey\2.%20Internazionalizzazione%20Confindustria%20Lombardia\2023\3.%20Elaborazione%20BG\BERGAMO_2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2.8342588189782317E-2"/>
          <c:y val="0.26084960304652099"/>
          <c:w val="0.96347410235312081"/>
          <c:h val="0.67332567699771562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Elaborazioni!$H$75</c:f>
              <c:strCache>
                <c:ptCount val="1"/>
                <c:pt idx="0">
                  <c:v>Extra-UE</c:v>
                </c:pt>
              </c:strCache>
            </c:strRef>
          </c:tx>
          <c:spPr>
            <a:solidFill>
              <a:schemeClr val="accent1">
                <a:lumMod val="20000"/>
                <a:lumOff val="80000"/>
              </a:schemeClr>
            </a:solidFill>
          </c:spPr>
          <c:invertIfNegative val="0"/>
          <c:dPt>
            <c:idx val="4"/>
            <c:invertIfNegative val="0"/>
            <c:bubble3D val="0"/>
            <c:spPr>
              <a:solidFill>
                <a:schemeClr val="accent6">
                  <a:lumMod val="20000"/>
                  <a:lumOff val="80000"/>
                </a:schemeClr>
              </a:solidFill>
            </c:spPr>
            <c:extLst>
              <c:ext xmlns:c16="http://schemas.microsoft.com/office/drawing/2014/chart" uri="{C3380CC4-5D6E-409C-BE32-E72D297353CC}">
                <c16:uniqueId val="{00000001-44AF-4153-831E-19B0A1057CE0}"/>
              </c:ext>
            </c:extLst>
          </c:dPt>
          <c:dLbls>
            <c:dLbl>
              <c:idx val="0"/>
              <c:tx>
                <c:rich>
                  <a:bodyPr/>
                  <a:lstStyle/>
                  <a:p>
                    <a:fld id="{DFC84C42-490F-4B02-AE01-553836EE9CE4}" type="CELLRANGE">
                      <a:rPr lang="en-US"/>
                      <a:pPr/>
                      <a:t>[INTERVALLOCELLE]</a:t>
                    </a:fld>
                    <a:r>
                      <a:rPr lang="en-US" baseline="0"/>
                      <a:t>
</a:t>
                    </a:r>
                    <a:fld id="{B40ED4E8-9498-4B4A-B712-413828C881F5}" type="VALUE">
                      <a:rPr lang="en-US" baseline="0"/>
                      <a:pPr/>
                      <a:t>[VALORE]</a:t>
                    </a:fld>
                    <a:endParaRPr lang="en-US" baseline="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>
                  <c15:dlblFieldTable/>
                  <c15:xForSave val="1"/>
                  <c15:showDataLabelsRange val="1"/>
                </c:ext>
                <c:ext xmlns:c16="http://schemas.microsoft.com/office/drawing/2014/chart" uri="{C3380CC4-5D6E-409C-BE32-E72D297353CC}">
                  <c16:uniqueId val="{00000002-44AF-4153-831E-19B0A1057CE0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fld id="{602618C1-120C-432B-981A-D4097E5B1E2E}" type="CELLRANGE">
                      <a:rPr lang="en-US"/>
                      <a:pPr/>
                      <a:t>[INTERVALLOCELLE]</a:t>
                    </a:fld>
                    <a:r>
                      <a:rPr lang="en-US" baseline="0"/>
                      <a:t>
</a:t>
                    </a:r>
                    <a:fld id="{83AF017A-6913-4661-A9EB-9305FA7A6EE4}" type="VALUE">
                      <a:rPr lang="en-US" baseline="0"/>
                      <a:pPr/>
                      <a:t>[VALORE]</a:t>
                    </a:fld>
                    <a:endParaRPr lang="en-US" baseline="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>
                  <c15:dlblFieldTable/>
                  <c15:xForSave val="1"/>
                  <c15:showDataLabelsRange val="1"/>
                </c:ext>
                <c:ext xmlns:c16="http://schemas.microsoft.com/office/drawing/2014/chart" uri="{C3380CC4-5D6E-409C-BE32-E72D297353CC}">
                  <c16:uniqueId val="{00000003-44AF-4153-831E-19B0A1057CE0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fld id="{EBEEAAEC-CC38-4D1A-AF89-14850D99A80B}" type="CELLRANGE">
                      <a:rPr lang="en-US"/>
                      <a:pPr/>
                      <a:t>[INTERVALLOCELLE]</a:t>
                    </a:fld>
                    <a:r>
                      <a:rPr lang="en-US" baseline="0"/>
                      <a:t>
</a:t>
                    </a:r>
                    <a:fld id="{A2F83592-8B10-4007-A6C0-47B8AFB4BEA0}" type="VALUE">
                      <a:rPr lang="en-US" baseline="0"/>
                      <a:pPr/>
                      <a:t>[VALORE]</a:t>
                    </a:fld>
                    <a:endParaRPr lang="en-US" baseline="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>
                  <c15:dlblFieldTable/>
                  <c15:xForSave val="1"/>
                  <c15:showDataLabelsRange val="1"/>
                </c:ext>
                <c:ext xmlns:c16="http://schemas.microsoft.com/office/drawing/2014/chart" uri="{C3380CC4-5D6E-409C-BE32-E72D297353CC}">
                  <c16:uniqueId val="{00000004-44AF-4153-831E-19B0A1057CE0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fld id="{9B72D9CD-B0E1-4D73-AFC6-400881299E55}" type="CELLRANGE">
                      <a:rPr lang="en-US"/>
                      <a:pPr/>
                      <a:t>[INTERVALLOCELLE]</a:t>
                    </a:fld>
                    <a:r>
                      <a:rPr lang="en-US" baseline="0"/>
                      <a:t>
</a:t>
                    </a:r>
                    <a:fld id="{8E65E41C-E041-4D16-B696-71CAB178E7A7}" type="VALUE">
                      <a:rPr lang="en-US" baseline="0"/>
                      <a:pPr/>
                      <a:t>[VALORE]</a:t>
                    </a:fld>
                    <a:endParaRPr lang="en-US" baseline="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>
                  <c15:dlblFieldTable/>
                  <c15:xForSave val="1"/>
                  <c15:showDataLabelsRange val="1"/>
                </c:ext>
                <c:ext xmlns:c16="http://schemas.microsoft.com/office/drawing/2014/chart" uri="{C3380CC4-5D6E-409C-BE32-E72D297353CC}">
                  <c16:uniqueId val="{00000005-44AF-4153-831E-19B0A1057CE0}"/>
                </c:ext>
              </c:extLst>
            </c:dLbl>
            <c:dLbl>
              <c:idx val="4"/>
              <c:tx>
                <c:rich>
                  <a:bodyPr/>
                  <a:lstStyle/>
                  <a:p>
                    <a:fld id="{E20FFE57-A721-498D-9FB6-14CFAFB6F054}" type="CELLRANGE">
                      <a:rPr lang="en-US"/>
                      <a:pPr/>
                      <a:t>[INTERVALLOCELLE]</a:t>
                    </a:fld>
                    <a:r>
                      <a:rPr lang="en-US" baseline="0"/>
                      <a:t>
</a:t>
                    </a:r>
                    <a:fld id="{CF9888DF-2217-43E3-9A1E-984405FB686E}" type="VALUE">
                      <a:rPr lang="en-US" baseline="0"/>
                      <a:pPr/>
                      <a:t>[VALORE]</a:t>
                    </a:fld>
                    <a:endParaRPr lang="en-US" baseline="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>
                  <c15:dlblFieldTable/>
                  <c15:xForSave val="1"/>
                  <c15:showDataLabelsRange val="1"/>
                </c:ext>
                <c:ext xmlns:c16="http://schemas.microsoft.com/office/drawing/2014/chart" uri="{C3380CC4-5D6E-409C-BE32-E72D297353CC}">
                  <c16:uniqueId val="{00000001-44AF-4153-831E-19B0A1057CE0}"/>
                </c:ext>
              </c:extLst>
            </c:dLbl>
            <c:numFmt formatCode="#,##0.0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0">
                <a:spAutoFit/>
              </a:bodyPr>
              <a:lstStyle/>
              <a:p>
                <a:pPr algn="ctr">
                  <a:defRPr lang="en-US" sz="1100" b="0" i="0" u="none" strike="noStrike" kern="1200" baseline="0">
                    <a:solidFill>
                      <a:sysClr val="windowText" lastClr="000000"/>
                    </a:solidFill>
                    <a:latin typeface="Arial Narrow" panose="020B0606020202030204" pitchFamily="34" charset="0"/>
                    <a:ea typeface="+mn-ea"/>
                    <a:cs typeface="+mn-cs"/>
                  </a:defRPr>
                </a:pPr>
                <a:endParaRPr lang="it-IT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eparator>
</c:separator>
            <c:showLeaderLines val="0"/>
            <c:extLst>
              <c:ext xmlns:c15="http://schemas.microsoft.com/office/drawing/2012/chart" uri="{CE6537A1-D6FC-4f65-9D91-7224C49458BB}">
                <c15:showDataLabelsRange val="1"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Elaborazioni!$F$76:$F$80</c:f>
              <c:strCache>
                <c:ptCount val="5"/>
                <c:pt idx="0">
                  <c:v>Micro</c:v>
                </c:pt>
                <c:pt idx="1">
                  <c:v>Piccola</c:v>
                </c:pt>
                <c:pt idx="2">
                  <c:v>Media</c:v>
                </c:pt>
                <c:pt idx="3">
                  <c:v>Grande</c:v>
                </c:pt>
                <c:pt idx="4">
                  <c:v>Totale</c:v>
                </c:pt>
              </c:strCache>
            </c:strRef>
          </c:cat>
          <c:val>
            <c:numRef>
              <c:f>Elaborazioni!$H$76:$H$80</c:f>
              <c:numCache>
                <c:formatCode>0.0</c:formatCode>
                <c:ptCount val="5"/>
                <c:pt idx="0">
                  <c:v>10.3</c:v>
                </c:pt>
                <c:pt idx="1">
                  <c:v>6.7692307692307692</c:v>
                </c:pt>
                <c:pt idx="2">
                  <c:v>15.285714285714286</c:v>
                </c:pt>
                <c:pt idx="3">
                  <c:v>18.5</c:v>
                </c:pt>
                <c:pt idx="4">
                  <c:v>10.534653465346535</c:v>
                </c:pt>
              </c:numCache>
            </c:numRef>
          </c:val>
          <c:extLst>
            <c:ext xmlns:c15="http://schemas.microsoft.com/office/drawing/2012/chart" uri="{02D57815-91ED-43cb-92C2-25804820EDAC}">
              <c15:datalabelsRange>
                <c15:f>Elaborazioni!$I$76:$I$80</c15:f>
                <c15:dlblRangeCache>
                  <c:ptCount val="5"/>
                  <c:pt idx="0">
                    <c:v>64%</c:v>
                  </c:pt>
                  <c:pt idx="1">
                    <c:v>47%</c:v>
                  </c:pt>
                  <c:pt idx="2">
                    <c:v>61%</c:v>
                  </c:pt>
                  <c:pt idx="3">
                    <c:v>47%</c:v>
                  </c:pt>
                  <c:pt idx="4">
                    <c:v>55%</c:v>
                  </c:pt>
                </c15:dlblRangeCache>
              </c15:datalabelsRange>
            </c:ext>
            <c:ext xmlns:c16="http://schemas.microsoft.com/office/drawing/2014/chart" uri="{C3380CC4-5D6E-409C-BE32-E72D297353CC}">
              <c16:uniqueId val="{00000006-44AF-4153-831E-19B0A1057CE0}"/>
            </c:ext>
          </c:extLst>
        </c:ser>
        <c:ser>
          <c:idx val="1"/>
          <c:order val="1"/>
          <c:tx>
            <c:strRef>
              <c:f>Elaborazioni!$J$75</c:f>
              <c:strCache>
                <c:ptCount val="1"/>
                <c:pt idx="0">
                  <c:v>UE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</c:spPr>
          <c:invertIfNegative val="0"/>
          <c:dPt>
            <c:idx val="4"/>
            <c:invertIfNegative val="0"/>
            <c:bubble3D val="0"/>
            <c:spPr>
              <a:solidFill>
                <a:schemeClr val="accent6">
                  <a:lumMod val="50000"/>
                </a:schemeClr>
              </a:solidFill>
            </c:spPr>
            <c:extLst>
              <c:ext xmlns:c16="http://schemas.microsoft.com/office/drawing/2014/chart" uri="{C3380CC4-5D6E-409C-BE32-E72D297353CC}">
                <c16:uniqueId val="{00000008-44AF-4153-831E-19B0A1057CE0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>
                    <a:solidFill>
                      <a:schemeClr val="bg1"/>
                    </a:solidFill>
                  </a:defRPr>
                </a:pPr>
                <a:endParaRPr lang="it-IT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Elaborazioni!$F$76:$F$80</c:f>
              <c:strCache>
                <c:ptCount val="5"/>
                <c:pt idx="0">
                  <c:v>Micro</c:v>
                </c:pt>
                <c:pt idx="1">
                  <c:v>Piccola</c:v>
                </c:pt>
                <c:pt idx="2">
                  <c:v>Media</c:v>
                </c:pt>
                <c:pt idx="3">
                  <c:v>Grande</c:v>
                </c:pt>
                <c:pt idx="4">
                  <c:v>Totale</c:v>
                </c:pt>
              </c:strCache>
            </c:strRef>
          </c:cat>
          <c:val>
            <c:numRef>
              <c:f>Elaborazioni!$J$76:$J$80</c:f>
              <c:numCache>
                <c:formatCode>0.0</c:formatCode>
                <c:ptCount val="5"/>
                <c:pt idx="0">
                  <c:v>5.8000000000000007</c:v>
                </c:pt>
                <c:pt idx="1">
                  <c:v>7.5703918722786652</c:v>
                </c:pt>
                <c:pt idx="2">
                  <c:v>9.7142857142857135</c:v>
                </c:pt>
                <c:pt idx="3">
                  <c:v>21</c:v>
                </c:pt>
                <c:pt idx="4">
                  <c:v>8.7345773038842349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44AF-4153-831E-19B0A1057CE0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60"/>
        <c:overlap val="100"/>
        <c:axId val="1640132767"/>
        <c:axId val="1430541039"/>
        <c:extLst/>
      </c:barChart>
      <c:catAx>
        <c:axId val="1640132767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 Narrow" panose="020B0606020202030204" pitchFamily="34" charset="0"/>
                <a:ea typeface="+mn-ea"/>
                <a:cs typeface="+mn-cs"/>
              </a:defRPr>
            </a:pPr>
            <a:endParaRPr lang="it-IT"/>
          </a:p>
        </c:txPr>
        <c:crossAx val="1430541039"/>
        <c:crosses val="autoZero"/>
        <c:auto val="1"/>
        <c:lblAlgn val="ctr"/>
        <c:lblOffset val="100"/>
        <c:noMultiLvlLbl val="0"/>
      </c:catAx>
      <c:valAx>
        <c:axId val="1430541039"/>
        <c:scaling>
          <c:orientation val="minMax"/>
        </c:scaling>
        <c:delete val="1"/>
        <c:axPos val="l"/>
        <c:numFmt formatCode="0.0" sourceLinked="1"/>
        <c:majorTickMark val="none"/>
        <c:minorTickMark val="none"/>
        <c:tickLblPos val="nextTo"/>
        <c:crossAx val="1640132767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  <c:extLst/>
  </c:chart>
  <c:txPr>
    <a:bodyPr/>
    <a:lstStyle/>
    <a:p>
      <a:pPr>
        <a:defRPr sz="1100">
          <a:latin typeface="Arial Narrow" panose="020B0606020202030204" pitchFamily="34" charset="0"/>
        </a:defRPr>
      </a:pPr>
      <a:endParaRPr lang="it-IT"/>
    </a:p>
  </c:txPr>
  <c:externalData r:id="rId1">
    <c:autoUpdate val="0"/>
  </c:externalData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44218591696766879"/>
          <c:y val="0.2701678138659741"/>
          <c:w val="0.52558871783402084"/>
          <c:h val="0.70976483039715366"/>
        </c:manualLayout>
      </c:layout>
      <c:barChart>
        <c:barDir val="bar"/>
        <c:grouping val="clustered"/>
        <c:varyColors val="0"/>
        <c:ser>
          <c:idx val="0"/>
          <c:order val="0"/>
          <c:tx>
            <c:v>Totale</c:v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dLbls>
            <c:numFmt formatCode="0%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50" b="0" i="0" u="none" strike="noStrike" baseline="0">
                    <a:solidFill>
                      <a:srgbClr val="012169"/>
                    </a:solidFill>
                    <a:latin typeface="Arial Narrow" panose="020B0606020202030204" pitchFamily="34" charset="0"/>
                    <a:ea typeface="+mn-ea"/>
                    <a:cs typeface="+mn-cs"/>
                  </a:defRPr>
                </a:pPr>
                <a:endParaRPr lang="it-IT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Elaborazioni!$A$192:$A$199</c:f>
              <c:strCache>
                <c:ptCount val="8"/>
                <c:pt idx="0">
                  <c:v>Sono competitivo in termini di qualità e contenuto innovativo dei prodotti</c:v>
                </c:pt>
                <c:pt idx="1">
                  <c:v>Sono competitivo in termini di prezzo</c:v>
                </c:pt>
                <c:pt idx="2">
                  <c:v>Offro maggiore flessibilità rispetto ai competitor</c:v>
                </c:pt>
                <c:pt idx="3">
                  <c:v>Sono un fornitore meno rischioso (per rischi logistici, geopolitici, regolatori)</c:v>
                </c:pt>
                <c:pt idx="4">
                  <c:v> Ho maggiore disponibilità dei prodotti (per gestione migliore delle scorte dei magazzini)</c:v>
                </c:pt>
                <c:pt idx="5">
                  <c:v>Altro</c:v>
                </c:pt>
                <c:pt idx="6">
                  <c:v>Sono competitivo in termini di sostenibilità</c:v>
                </c:pt>
                <c:pt idx="7">
                  <c:v>Sono l'unico fornitore, non ci sono alternative (ad es. chiusura dei competitor, posizionamento in nicchia di mercato, ...)</c:v>
                </c:pt>
              </c:strCache>
            </c:strRef>
          </c:cat>
          <c:val>
            <c:numRef>
              <c:f>Elaborazioni!$C$192:$C$199</c:f>
              <c:numCache>
                <c:formatCode>0%</c:formatCode>
                <c:ptCount val="8"/>
                <c:pt idx="0">
                  <c:v>0.55813953488372092</c:v>
                </c:pt>
                <c:pt idx="1">
                  <c:v>0.34883720930232559</c:v>
                </c:pt>
                <c:pt idx="2">
                  <c:v>0.20930232558139536</c:v>
                </c:pt>
                <c:pt idx="3">
                  <c:v>0.19767441860465115</c:v>
                </c:pt>
                <c:pt idx="4">
                  <c:v>0.15116279069767441</c:v>
                </c:pt>
                <c:pt idx="5">
                  <c:v>0.12790697674418605</c:v>
                </c:pt>
                <c:pt idx="6">
                  <c:v>0.11627906976744186</c:v>
                </c:pt>
                <c:pt idx="7">
                  <c:v>4.6511627906976744E-2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497-4BDA-9249-54BC4B019DEE}"/>
            </c:ext>
          </c:extLst>
        </c:ser>
        <c:ser>
          <c:idx val="1"/>
          <c:order val="1"/>
          <c:tx>
            <c:v>Nessuna variazione quota</c:v>
          </c:tx>
          <c:spPr>
            <a:solidFill>
              <a:schemeClr val="accent1"/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 anchorCtr="0">
                <a:spAutoFit/>
              </a:bodyPr>
              <a:lstStyle/>
              <a:p>
                <a:pPr algn="ctr">
                  <a:defRPr lang="en-US" sz="1050" b="0" i="0" u="none" strike="noStrike" kern="1200" baseline="0">
                    <a:solidFill>
                      <a:srgbClr val="012169"/>
                    </a:solidFill>
                    <a:latin typeface="Arial Narrow" panose="020B0606020202030204" pitchFamily="34" charset="0"/>
                    <a:ea typeface="+mn-ea"/>
                    <a:cs typeface="+mn-cs"/>
                  </a:defRPr>
                </a:pPr>
                <a:endParaRPr lang="it-IT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val>
            <c:numRef>
              <c:f>Elaborazioni!$K$192:$K$199</c:f>
              <c:numCache>
                <c:formatCode>0%</c:formatCode>
                <c:ptCount val="8"/>
                <c:pt idx="0">
                  <c:v>0.45283018867924529</c:v>
                </c:pt>
                <c:pt idx="1">
                  <c:v>0.28301886792452829</c:v>
                </c:pt>
                <c:pt idx="2">
                  <c:v>0.22641509433962265</c:v>
                </c:pt>
                <c:pt idx="3">
                  <c:v>0.16981132075471697</c:v>
                </c:pt>
                <c:pt idx="4">
                  <c:v>9.4339622641509441E-2</c:v>
                </c:pt>
                <c:pt idx="5">
                  <c:v>0.11320754716981132</c:v>
                </c:pt>
                <c:pt idx="6">
                  <c:v>0.13207547169811321</c:v>
                </c:pt>
                <c:pt idx="7">
                  <c:v>3.7735849056603772E-2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497-4BDA-9249-54BC4B019DEE}"/>
            </c:ext>
          </c:extLst>
        </c:ser>
        <c:ser>
          <c:idx val="2"/>
          <c:order val="2"/>
          <c:tx>
            <c:v>Aumento quota</c:v>
          </c:tx>
          <c:spPr>
            <a:solidFill>
              <a:schemeClr val="accent1">
                <a:lumMod val="20000"/>
                <a:lumOff val="80000"/>
              </a:schemeClr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 anchorCtr="0">
                <a:spAutoFit/>
              </a:bodyPr>
              <a:lstStyle/>
              <a:p>
                <a:pPr algn="ctr">
                  <a:defRPr lang="en-US" sz="1050" b="0" i="0" u="none" strike="noStrike" kern="1200" baseline="0">
                    <a:solidFill>
                      <a:srgbClr val="012169"/>
                    </a:solidFill>
                    <a:latin typeface="Arial Narrow" panose="020B0606020202030204" pitchFamily="34" charset="0"/>
                    <a:ea typeface="+mn-ea"/>
                    <a:cs typeface="+mn-cs"/>
                  </a:defRPr>
                </a:pPr>
                <a:endParaRPr lang="it-IT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val>
            <c:numRef>
              <c:f>Elaborazioni!$L$192:$L$199</c:f>
              <c:numCache>
                <c:formatCode>0%</c:formatCode>
                <c:ptCount val="8"/>
                <c:pt idx="0">
                  <c:v>0.6</c:v>
                </c:pt>
                <c:pt idx="1">
                  <c:v>0.375</c:v>
                </c:pt>
                <c:pt idx="2">
                  <c:v>0.15</c:v>
                </c:pt>
                <c:pt idx="3">
                  <c:v>0.2</c:v>
                </c:pt>
                <c:pt idx="4">
                  <c:v>0.2</c:v>
                </c:pt>
                <c:pt idx="5">
                  <c:v>0.125</c:v>
                </c:pt>
                <c:pt idx="6">
                  <c:v>7.4999999999999997E-2</c:v>
                </c:pt>
                <c:pt idx="7">
                  <c:v>0.05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2497-4BDA-9249-54BC4B019DEE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60"/>
        <c:axId val="1761711680"/>
        <c:axId val="1804907872"/>
        <c:extLst/>
      </c:barChart>
      <c:catAx>
        <c:axId val="1761711680"/>
        <c:scaling>
          <c:orientation val="maxMin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baseline="0">
                <a:solidFill>
                  <a:srgbClr val="012169"/>
                </a:solidFill>
                <a:latin typeface="Arial Narrow" panose="020B0606020202030204" pitchFamily="34" charset="0"/>
                <a:ea typeface="+mn-ea"/>
                <a:cs typeface="+mn-cs"/>
              </a:defRPr>
            </a:pPr>
            <a:endParaRPr lang="it-IT"/>
          </a:p>
        </c:txPr>
        <c:crossAx val="1804907872"/>
        <c:crosses val="autoZero"/>
        <c:auto val="1"/>
        <c:lblAlgn val="ctr"/>
        <c:lblOffset val="100"/>
        <c:noMultiLvlLbl val="0"/>
      </c:catAx>
      <c:valAx>
        <c:axId val="1804907872"/>
        <c:scaling>
          <c:orientation val="minMax"/>
          <c:max val="0.65000000000000013"/>
          <c:min val="0"/>
        </c:scaling>
        <c:delete val="1"/>
        <c:axPos val="t"/>
        <c:numFmt formatCode="0%" sourceLinked="1"/>
        <c:majorTickMark val="out"/>
        <c:minorTickMark val="none"/>
        <c:tickLblPos val="nextTo"/>
        <c:crossAx val="1761711680"/>
        <c:crosses val="autoZero"/>
        <c:crossBetween val="between"/>
      </c:valAx>
    </c:plotArea>
    <c:plotVisOnly val="1"/>
    <c:dispBlanksAs val="gap"/>
    <c:showDLblsOverMax val="0"/>
    <c:extLst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it-IT"/>
    </a:p>
  </c:txPr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0.00965</cdr:x>
      <cdr:y>0.01625</cdr:y>
    </cdr:from>
    <cdr:to>
      <cdr:x>1</cdr:x>
      <cdr:y>0.24309</cdr:y>
    </cdr:to>
    <cdr:sp macro="" textlink="">
      <cdr:nvSpPr>
        <cdr:cNvPr id="2" name="CasellaDiTesto 1">
          <a:extLst xmlns:a="http://schemas.openxmlformats.org/drawingml/2006/main">
            <a:ext uri="{FF2B5EF4-FFF2-40B4-BE49-F238E27FC236}">
              <a16:creationId xmlns:a16="http://schemas.microsoft.com/office/drawing/2014/main" id="{7A564D5B-5297-49A5-41F6-AE3B21D34824}"/>
            </a:ext>
          </a:extLst>
        </cdr:cNvPr>
        <cdr:cNvSpPr txBox="1"/>
      </cdr:nvSpPr>
      <cdr:spPr>
        <a:xfrm xmlns:a="http://schemas.openxmlformats.org/drawingml/2006/main">
          <a:off x="59059" y="64946"/>
          <a:ext cx="6061071" cy="906604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it-IT" sz="1400">
              <a:solidFill>
                <a:srgbClr val="012169"/>
              </a:solidFill>
              <a:latin typeface="Arial Narrow" panose="020B0606020202030204" pitchFamily="34" charset="0"/>
              <a:ea typeface="+mn-ea"/>
              <a:cs typeface="+mn-cs"/>
            </a:rPr>
            <a:t>Bergamo, </a:t>
          </a:r>
          <a:r>
            <a:rPr lang="en-US" sz="1400" dirty="0" err="1">
              <a:solidFill>
                <a:srgbClr val="012169"/>
              </a:solidFill>
              <a:latin typeface="Arial Narrow" panose="020B0606020202030204" pitchFamily="34" charset="0"/>
            </a:rPr>
            <a:t>numero</a:t>
          </a:r>
          <a:r>
            <a:rPr lang="en-US" sz="1400" dirty="0">
              <a:solidFill>
                <a:srgbClr val="012169"/>
              </a:solidFill>
              <a:latin typeface="Arial Narrow" panose="020B0606020202030204" pitchFamily="34" charset="0"/>
            </a:rPr>
            <a:t> medio di </a:t>
          </a:r>
          <a:r>
            <a:rPr lang="en-US" sz="1400" dirty="0" err="1">
              <a:solidFill>
                <a:srgbClr val="012169"/>
              </a:solidFill>
              <a:latin typeface="Arial Narrow" panose="020B0606020202030204" pitchFamily="34" charset="0"/>
            </a:rPr>
            <a:t>Paesi</a:t>
          </a:r>
          <a:r>
            <a:rPr lang="en-US" sz="1400" dirty="0">
              <a:solidFill>
                <a:srgbClr val="012169"/>
              </a:solidFill>
              <a:latin typeface="Arial Narrow" panose="020B0606020202030204" pitchFamily="34" charset="0"/>
            </a:rPr>
            <a:t> </a:t>
          </a:r>
          <a:r>
            <a:rPr lang="en-US" sz="1400" dirty="0" err="1">
              <a:solidFill>
                <a:srgbClr val="012169"/>
              </a:solidFill>
              <a:latin typeface="Arial Narrow" panose="020B0606020202030204" pitchFamily="34" charset="0"/>
            </a:rPr>
            <a:t>serviti</a:t>
          </a:r>
          <a:r>
            <a:rPr lang="en-US" sz="1400" dirty="0">
              <a:solidFill>
                <a:srgbClr val="012169"/>
              </a:solidFill>
              <a:latin typeface="Arial Narrow" panose="020B0606020202030204" pitchFamily="34" charset="0"/>
            </a:rPr>
            <a:t> con </a:t>
          </a:r>
          <a:r>
            <a:rPr lang="en-US" sz="1400" dirty="0" err="1">
              <a:solidFill>
                <a:srgbClr val="012169"/>
              </a:solidFill>
              <a:latin typeface="Arial Narrow" panose="020B0606020202030204" pitchFamily="34" charset="0"/>
            </a:rPr>
            <a:t>vendite</a:t>
          </a:r>
          <a:r>
            <a:rPr lang="en-US" sz="1400" dirty="0">
              <a:solidFill>
                <a:srgbClr val="012169"/>
              </a:solidFill>
              <a:latin typeface="Arial Narrow" panose="020B0606020202030204" pitchFamily="34" charset="0"/>
            </a:rPr>
            <a:t>, </a:t>
          </a:r>
          <a:r>
            <a:rPr lang="en-US" sz="1400" dirty="0" err="1">
              <a:solidFill>
                <a:srgbClr val="012169"/>
              </a:solidFill>
              <a:latin typeface="Arial Narrow" panose="020B0606020202030204" pitchFamily="34" charset="0"/>
            </a:rPr>
            <a:t>produzione</a:t>
          </a:r>
          <a:r>
            <a:rPr lang="en-US" sz="1400" dirty="0">
              <a:solidFill>
                <a:srgbClr val="012169"/>
              </a:solidFill>
              <a:latin typeface="Arial Narrow" panose="020B0606020202030204" pitchFamily="34" charset="0"/>
            </a:rPr>
            <a:t>, </a:t>
          </a:r>
          <a:r>
            <a:rPr lang="en-US" sz="1400" dirty="0" err="1">
              <a:solidFill>
                <a:srgbClr val="012169"/>
              </a:solidFill>
              <a:latin typeface="Arial Narrow" panose="020B0606020202030204" pitchFamily="34" charset="0"/>
            </a:rPr>
            <a:t>rappresentanza</a:t>
          </a:r>
          <a:r>
            <a:rPr lang="en-US" sz="1400" dirty="0">
              <a:solidFill>
                <a:srgbClr val="012169"/>
              </a:solidFill>
              <a:latin typeface="Arial Narrow" panose="020B0606020202030204" pitchFamily="34" charset="0"/>
            </a:rPr>
            <a:t> </a:t>
          </a:r>
          <a:r>
            <a:rPr lang="en-US" sz="1400" dirty="0" err="1">
              <a:solidFill>
                <a:srgbClr val="012169"/>
              </a:solidFill>
              <a:latin typeface="Arial Narrow" panose="020B0606020202030204" pitchFamily="34" charset="0"/>
            </a:rPr>
            <a:t>commerciale</a:t>
          </a:r>
        </a:p>
        <a:p xmlns:a="http://schemas.openxmlformats.org/drawingml/2006/main">
          <a:r>
            <a:rPr lang="en-US" sz="1200" dirty="0" err="1">
              <a:solidFill>
                <a:schemeClr val="accent1">
                  <a:lumMod val="50000"/>
                </a:schemeClr>
              </a:solidFill>
              <a:latin typeface="Arial Narrow" panose="020B0606020202030204" pitchFamily="34" charset="0"/>
            </a:rPr>
            <a:t>■</a:t>
          </a:r>
          <a:r>
            <a:rPr lang="en-US" sz="1200" dirty="0" err="1">
              <a:solidFill>
                <a:sysClr val="windowText" lastClr="000000"/>
              </a:solidFill>
              <a:latin typeface="Arial Narrow" panose="020B0606020202030204" pitchFamily="34" charset="0"/>
            </a:rPr>
            <a:t>UE</a:t>
          </a:r>
          <a:r>
            <a:rPr lang="en-US" sz="1200" baseline="0" dirty="0" err="1">
              <a:solidFill>
                <a:srgbClr val="012169"/>
              </a:solidFill>
              <a:latin typeface="Arial Narrow" panose="020B0606020202030204" pitchFamily="34" charset="0"/>
            </a:rPr>
            <a:t> </a:t>
          </a:r>
          <a:r>
            <a:rPr lang="en-US" sz="1200" dirty="0" err="1">
              <a:solidFill>
                <a:schemeClr val="accent1">
                  <a:lumMod val="20000"/>
                  <a:lumOff val="80000"/>
                </a:schemeClr>
              </a:solidFill>
              <a:latin typeface="Arial Narrow" panose="020B0606020202030204" pitchFamily="34" charset="0"/>
            </a:rPr>
            <a:t>■</a:t>
          </a:r>
          <a:r>
            <a:rPr lang="en-US" sz="1200" dirty="0" err="1">
              <a:solidFill>
                <a:sysClr val="windowText" lastClr="000000"/>
              </a:solidFill>
              <a:latin typeface="Arial Narrow" panose="020B0606020202030204" pitchFamily="34" charset="0"/>
            </a:rPr>
            <a:t>Extra-UE</a:t>
          </a:r>
          <a:endParaRPr lang="it-IT" sz="1200">
            <a:solidFill>
              <a:sysClr val="windowText" lastClr="000000"/>
            </a:solidFill>
            <a:latin typeface="Arial Narrow" panose="020B0606020202030204" pitchFamily="34" charset="0"/>
          </a:endParaRPr>
        </a:p>
        <a:p xmlns:a="http://schemas.openxmlformats.org/drawingml/2006/main">
          <a:r>
            <a:rPr kumimoji="0" lang="it-IT" sz="800" b="0" i="0" u="none" strike="noStrike" kern="1200" cap="none" spc="0" normalizeH="0" baseline="0" noProof="0">
              <a:ln>
                <a:noFill/>
              </a:ln>
              <a:solidFill>
                <a:schemeClr val="bg1">
                  <a:lumMod val="65000"/>
                </a:schemeClr>
              </a:solidFill>
              <a:effectLst/>
              <a:uLnTx/>
              <a:uFillTx/>
              <a:latin typeface="Arial Narrow" panose="020B0606020202030204" pitchFamily="34" charset="0"/>
              <a:ea typeface="+mn-ea"/>
              <a:cs typeface="+mn-cs"/>
            </a:rPr>
            <a:t>Fonte: Studi Confindustria Bergamo - estratto Indagine Internazionalizzazione 2023</a:t>
          </a:r>
          <a:endParaRPr kumimoji="0" lang="it-IT" sz="800" b="0" i="0" u="none" strike="noStrike" kern="1200" cap="none" spc="0" normalizeH="0" baseline="0" noProof="0">
            <a:ln>
              <a:noFill/>
            </a:ln>
            <a:solidFill>
              <a:schemeClr val="bg1">
                <a:lumMod val="65000"/>
              </a:schemeClr>
            </a:solidFill>
            <a:effectLst/>
            <a:uLnTx/>
            <a:uFillTx/>
            <a:latin typeface="+mn-lt"/>
            <a:ea typeface="+mn-ea"/>
            <a:cs typeface="+mn-cs"/>
          </a:endParaRPr>
        </a:p>
        <a:p xmlns:a="http://schemas.openxmlformats.org/drawingml/2006/main">
          <a:endParaRPr lang="it-IT" sz="1200">
            <a:latin typeface="Arial Narrow" panose="020B0606020202030204" pitchFamily="34" charset="0"/>
          </a:endParaRPr>
        </a:p>
      </cdr:txBody>
    </cdr:sp>
  </cdr:relSizeAnchor>
  <cdr:relSizeAnchor xmlns:cdr="http://schemas.openxmlformats.org/drawingml/2006/chartDrawing">
    <cdr:from>
      <cdr:x>0.0789</cdr:x>
      <cdr:y>0.59914</cdr:y>
    </cdr:from>
    <cdr:to>
      <cdr:x>0.17302</cdr:x>
      <cdr:y>0.66219</cdr:y>
    </cdr:to>
    <cdr:sp macro="" textlink="">
      <cdr:nvSpPr>
        <cdr:cNvPr id="3" name="Rettangolo con angoli arrotondati 2">
          <a:extLst xmlns:a="http://schemas.openxmlformats.org/drawingml/2006/main">
            <a:ext uri="{FF2B5EF4-FFF2-40B4-BE49-F238E27FC236}">
              <a16:creationId xmlns:a16="http://schemas.microsoft.com/office/drawing/2014/main" id="{63565240-E35B-7266-B08F-0B0657CF9943}"/>
            </a:ext>
          </a:extLst>
        </cdr:cNvPr>
        <cdr:cNvSpPr/>
      </cdr:nvSpPr>
      <cdr:spPr>
        <a:xfrm xmlns:a="http://schemas.openxmlformats.org/drawingml/2006/main">
          <a:off x="482877" y="2394576"/>
          <a:ext cx="576000" cy="252000"/>
        </a:xfrm>
        <a:prstGeom xmlns:a="http://schemas.openxmlformats.org/drawingml/2006/main" prst="roundRect">
          <a:avLst/>
        </a:prstGeom>
        <a:noFill xmlns:a="http://schemas.openxmlformats.org/drawingml/2006/main"/>
        <a:ln xmlns:a="http://schemas.openxmlformats.org/drawingml/2006/main">
          <a:prstDash val="sysDash"/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anchor="ctr"/>
        <a:lstStyle xmlns:a="http://schemas.openxmlformats.org/drawingml/2006/main">
          <a:lvl1pPr marL="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ctr"/>
          <a:r>
            <a:rPr lang="it-IT" sz="1400" b="1">
              <a:solidFill>
                <a:sysClr val="windowText" lastClr="000000"/>
              </a:solidFill>
              <a:latin typeface="Arial Narrow" panose="020B0606020202030204" pitchFamily="34" charset="0"/>
            </a:rPr>
            <a:t>16,1</a:t>
          </a:r>
        </a:p>
      </cdr:txBody>
    </cdr:sp>
  </cdr:relSizeAnchor>
  <cdr:relSizeAnchor xmlns:cdr="http://schemas.openxmlformats.org/drawingml/2006/chartDrawing">
    <cdr:from>
      <cdr:x>0.27181</cdr:x>
      <cdr:y>0.61951</cdr:y>
    </cdr:from>
    <cdr:to>
      <cdr:x>0.36593</cdr:x>
      <cdr:y>0.68256</cdr:y>
    </cdr:to>
    <cdr:sp macro="" textlink="">
      <cdr:nvSpPr>
        <cdr:cNvPr id="6" name="Rettangolo con angoli arrotondati 5">
          <a:extLst xmlns:a="http://schemas.openxmlformats.org/drawingml/2006/main">
            <a:ext uri="{FF2B5EF4-FFF2-40B4-BE49-F238E27FC236}">
              <a16:creationId xmlns:a16="http://schemas.microsoft.com/office/drawing/2014/main" id="{92150C4C-C001-1460-3189-27A6E1479EB7}"/>
            </a:ext>
          </a:extLst>
        </cdr:cNvPr>
        <cdr:cNvSpPr/>
      </cdr:nvSpPr>
      <cdr:spPr>
        <a:xfrm xmlns:a="http://schemas.openxmlformats.org/drawingml/2006/main">
          <a:off x="1663513" y="2475988"/>
          <a:ext cx="576000" cy="252000"/>
        </a:xfrm>
        <a:prstGeom xmlns:a="http://schemas.openxmlformats.org/drawingml/2006/main" prst="roundRect">
          <a:avLst/>
        </a:prstGeom>
        <a:noFill xmlns:a="http://schemas.openxmlformats.org/drawingml/2006/main"/>
        <a:ln xmlns:a="http://schemas.openxmlformats.org/drawingml/2006/main">
          <a:prstDash val="sysDash"/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anchor="ctr"/>
        <a:lstStyle xmlns:a="http://schemas.openxmlformats.org/drawingml/2006/main">
          <a:lvl1pPr marL="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ctr"/>
          <a:r>
            <a:rPr lang="it-IT" sz="1400" b="1">
              <a:solidFill>
                <a:sysClr val="windowText" lastClr="000000"/>
              </a:solidFill>
              <a:latin typeface="Arial Narrow" panose="020B0606020202030204" pitchFamily="34" charset="0"/>
            </a:rPr>
            <a:t>14,3</a:t>
          </a:r>
        </a:p>
      </cdr:txBody>
    </cdr:sp>
  </cdr:relSizeAnchor>
  <cdr:relSizeAnchor xmlns:cdr="http://schemas.openxmlformats.org/drawingml/2006/chartDrawing">
    <cdr:from>
      <cdr:x>0.46629</cdr:x>
      <cdr:y>0.46655</cdr:y>
    </cdr:from>
    <cdr:to>
      <cdr:x>0.56041</cdr:x>
      <cdr:y>0.5296</cdr:y>
    </cdr:to>
    <cdr:sp macro="" textlink="">
      <cdr:nvSpPr>
        <cdr:cNvPr id="7" name="Rettangolo con angoli arrotondati 6">
          <a:extLst xmlns:a="http://schemas.openxmlformats.org/drawingml/2006/main">
            <a:ext uri="{FF2B5EF4-FFF2-40B4-BE49-F238E27FC236}">
              <a16:creationId xmlns:a16="http://schemas.microsoft.com/office/drawing/2014/main" id="{15262248-97DC-D504-FAAB-8BC069DD7792}"/>
            </a:ext>
          </a:extLst>
        </cdr:cNvPr>
        <cdr:cNvSpPr/>
      </cdr:nvSpPr>
      <cdr:spPr>
        <a:xfrm xmlns:a="http://schemas.openxmlformats.org/drawingml/2006/main">
          <a:off x="2853755" y="1864655"/>
          <a:ext cx="576000" cy="252000"/>
        </a:xfrm>
        <a:prstGeom xmlns:a="http://schemas.openxmlformats.org/drawingml/2006/main" prst="roundRect">
          <a:avLst/>
        </a:prstGeom>
        <a:noFill xmlns:a="http://schemas.openxmlformats.org/drawingml/2006/main"/>
        <a:ln xmlns:a="http://schemas.openxmlformats.org/drawingml/2006/main">
          <a:prstDash val="sysDash"/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anchor="ctr"/>
        <a:lstStyle xmlns:a="http://schemas.openxmlformats.org/drawingml/2006/main">
          <a:lvl1pPr marL="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ctr"/>
          <a:r>
            <a:rPr lang="it-IT" sz="1400" b="1">
              <a:solidFill>
                <a:sysClr val="windowText" lastClr="000000"/>
              </a:solidFill>
              <a:latin typeface="Arial Narrow" panose="020B0606020202030204" pitchFamily="34" charset="0"/>
            </a:rPr>
            <a:t>25,0</a:t>
          </a:r>
        </a:p>
      </cdr:txBody>
    </cdr:sp>
  </cdr:relSizeAnchor>
  <cdr:relSizeAnchor xmlns:cdr="http://schemas.openxmlformats.org/drawingml/2006/chartDrawing">
    <cdr:from>
      <cdr:x>0.65827</cdr:x>
      <cdr:y>0.24554</cdr:y>
    </cdr:from>
    <cdr:to>
      <cdr:x>0.75239</cdr:x>
      <cdr:y>0.30859</cdr:y>
    </cdr:to>
    <cdr:sp macro="" textlink="">
      <cdr:nvSpPr>
        <cdr:cNvPr id="10" name="Rettangolo con angoli arrotondati 9">
          <a:extLst xmlns:a="http://schemas.openxmlformats.org/drawingml/2006/main">
            <a:ext uri="{FF2B5EF4-FFF2-40B4-BE49-F238E27FC236}">
              <a16:creationId xmlns:a16="http://schemas.microsoft.com/office/drawing/2014/main" id="{49A5B82E-EC1C-B166-C27A-33A17C37745A}"/>
            </a:ext>
          </a:extLst>
        </cdr:cNvPr>
        <cdr:cNvSpPr/>
      </cdr:nvSpPr>
      <cdr:spPr>
        <a:xfrm xmlns:a="http://schemas.openxmlformats.org/drawingml/2006/main">
          <a:off x="4028698" y="981347"/>
          <a:ext cx="576000" cy="252000"/>
        </a:xfrm>
        <a:prstGeom xmlns:a="http://schemas.openxmlformats.org/drawingml/2006/main" prst="roundRect">
          <a:avLst/>
        </a:prstGeom>
        <a:noFill xmlns:a="http://schemas.openxmlformats.org/drawingml/2006/main"/>
        <a:ln xmlns:a="http://schemas.openxmlformats.org/drawingml/2006/main">
          <a:prstDash val="sysDash"/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anchor="ctr"/>
        <a:lstStyle xmlns:a="http://schemas.openxmlformats.org/drawingml/2006/main">
          <a:lvl1pPr marL="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ctr"/>
          <a:r>
            <a:rPr lang="it-IT" sz="1400" b="1">
              <a:solidFill>
                <a:sysClr val="windowText" lastClr="000000"/>
              </a:solidFill>
              <a:latin typeface="Arial Narrow" panose="020B0606020202030204" pitchFamily="34" charset="0"/>
            </a:rPr>
            <a:t>39,5</a:t>
          </a:r>
        </a:p>
      </cdr:txBody>
    </cdr:sp>
  </cdr:relSizeAnchor>
  <cdr:relSizeAnchor xmlns:cdr="http://schemas.openxmlformats.org/drawingml/2006/chartDrawing">
    <cdr:from>
      <cdr:x>0.84852</cdr:x>
      <cdr:y>0.54722</cdr:y>
    </cdr:from>
    <cdr:to>
      <cdr:x>0.94264</cdr:x>
      <cdr:y>0.61027</cdr:y>
    </cdr:to>
    <cdr:sp macro="" textlink="">
      <cdr:nvSpPr>
        <cdr:cNvPr id="11" name="Rettangolo con angoli arrotondati 10">
          <a:extLst xmlns:a="http://schemas.openxmlformats.org/drawingml/2006/main">
            <a:ext uri="{FF2B5EF4-FFF2-40B4-BE49-F238E27FC236}">
              <a16:creationId xmlns:a16="http://schemas.microsoft.com/office/drawing/2014/main" id="{C17AE8E7-6839-BD2E-977B-26BFCC6BE611}"/>
            </a:ext>
          </a:extLst>
        </cdr:cNvPr>
        <cdr:cNvSpPr/>
      </cdr:nvSpPr>
      <cdr:spPr>
        <a:xfrm xmlns:a="http://schemas.openxmlformats.org/drawingml/2006/main">
          <a:off x="5193052" y="2187069"/>
          <a:ext cx="576000" cy="252000"/>
        </a:xfrm>
        <a:prstGeom xmlns:a="http://schemas.openxmlformats.org/drawingml/2006/main" prst="roundRect">
          <a:avLst/>
        </a:prstGeom>
        <a:noFill xmlns:a="http://schemas.openxmlformats.org/drawingml/2006/main"/>
        <a:ln xmlns:a="http://schemas.openxmlformats.org/drawingml/2006/main">
          <a:prstDash val="sysDash"/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anchor="ctr"/>
        <a:lstStyle xmlns:a="http://schemas.openxmlformats.org/drawingml/2006/main">
          <a:lvl1pPr marL="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lt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ctr"/>
          <a:r>
            <a:rPr lang="it-IT" sz="1400" b="1">
              <a:solidFill>
                <a:sysClr val="windowText" lastClr="000000"/>
              </a:solidFill>
              <a:latin typeface="Arial Narrow" panose="020B0606020202030204" pitchFamily="34" charset="0"/>
            </a:rPr>
            <a:t>19,4</a:t>
          </a:r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0.00869</cdr:x>
      <cdr:y>0.00591</cdr:y>
    </cdr:from>
    <cdr:to>
      <cdr:x>0.99079</cdr:x>
      <cdr:y>0.255</cdr:y>
    </cdr:to>
    <cdr:sp macro="" textlink="">
      <cdr:nvSpPr>
        <cdr:cNvPr id="3" name="CasellaDiTesto 2">
          <a:extLst xmlns:a="http://schemas.openxmlformats.org/drawingml/2006/main">
            <a:ext uri="{FF2B5EF4-FFF2-40B4-BE49-F238E27FC236}">
              <a16:creationId xmlns:a16="http://schemas.microsoft.com/office/drawing/2014/main" id="{741F5900-DF78-801E-0450-6C4A358D3E90}"/>
            </a:ext>
          </a:extLst>
        </cdr:cNvPr>
        <cdr:cNvSpPr txBox="1"/>
      </cdr:nvSpPr>
      <cdr:spPr>
        <a:xfrm xmlns:a="http://schemas.openxmlformats.org/drawingml/2006/main">
          <a:off x="53184" y="23619"/>
          <a:ext cx="6010580" cy="99555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l" rtl="0">
            <a:defRPr sz="1400" b="0" i="0" u="none" strike="noStrike" baseline="0">
              <a:solidFill>
                <a:prstClr val="black">
                  <a:lumMod val="65000"/>
                  <a:lumOff val="35000"/>
                </a:prstClr>
              </a:solidFill>
              <a:latin typeface="+mn-lt"/>
              <a:ea typeface="+mn-ea"/>
              <a:cs typeface="+mn-cs"/>
            </a:defRPr>
          </a:pPr>
          <a:r>
            <a:rPr lang="en-US" sz="1400" b="0" i="0" baseline="0" dirty="0">
              <a:solidFill>
                <a:srgbClr val="012169"/>
              </a:solidFill>
              <a:effectLst/>
              <a:latin typeface="Arial Narrow" panose="020B0606020202030204" pitchFamily="34" charset="0"/>
            </a:rPr>
            <a:t>Bergamo, le motivazioni delle aziende in merito all'aumento/mantenimento delle quote di mercato sui competitor</a:t>
          </a:r>
        </a:p>
        <a:p xmlns:a="http://schemas.openxmlformats.org/drawingml/2006/main">
          <a:pPr algn="l" rtl="0">
            <a:defRPr sz="1400" b="0" i="0" u="none" strike="noStrike" baseline="0">
              <a:solidFill>
                <a:prstClr val="black">
                  <a:lumMod val="65000"/>
                  <a:lumOff val="35000"/>
                </a:prstClr>
              </a:solidFill>
              <a:latin typeface="+mn-lt"/>
              <a:ea typeface="+mn-ea"/>
              <a:cs typeface="+mn-cs"/>
            </a:defRPr>
          </a:pPr>
          <a:r>
            <a:rPr lang="en-US" sz="1200" b="0" i="0" baseline="0" dirty="0">
              <a:solidFill>
                <a:sysClr val="windowText" lastClr="000000"/>
              </a:solidFill>
              <a:effectLst/>
              <a:latin typeface="Arial Narrow" panose="020B0606020202030204" pitchFamily="34" charset="0"/>
            </a:rPr>
            <a:t>% </a:t>
          </a:r>
          <a:r>
            <a:rPr lang="en-US" sz="1200" b="0" i="0" baseline="0" dirty="0" err="1">
              <a:solidFill>
                <a:sysClr val="windowText" lastClr="000000"/>
              </a:solidFill>
              <a:effectLst/>
              <a:latin typeface="Arial Narrow" panose="020B0606020202030204" pitchFamily="34" charset="0"/>
            </a:rPr>
            <a:t>dei</a:t>
          </a:r>
          <a:r>
            <a:rPr lang="en-US" sz="1200" b="0" i="0" baseline="0" dirty="0">
              <a:solidFill>
                <a:sysClr val="windowText" lastClr="000000"/>
              </a:solidFill>
              <a:effectLst/>
              <a:latin typeface="Arial Narrow" panose="020B0606020202030204" pitchFamily="34" charset="0"/>
            </a:rPr>
            <a:t> </a:t>
          </a:r>
          <a:r>
            <a:rPr lang="en-US" sz="1200" b="0" i="0" baseline="0" dirty="0" err="1">
              <a:solidFill>
                <a:sysClr val="windowText" lastClr="000000"/>
              </a:solidFill>
              <a:effectLst/>
              <a:latin typeface="Arial Narrow" panose="020B0606020202030204" pitchFamily="34" charset="0"/>
            </a:rPr>
            <a:t>rispondenti</a:t>
          </a:r>
          <a:r>
            <a:rPr lang="en-US" sz="1200" b="0" i="0" baseline="0" dirty="0">
              <a:solidFill>
                <a:sysClr val="windowText" lastClr="000000"/>
              </a:solidFill>
              <a:effectLst/>
              <a:latin typeface="Arial Narrow" panose="020B0606020202030204" pitchFamily="34" charset="0"/>
            </a:rPr>
            <a:t> </a:t>
          </a:r>
          <a:r>
            <a:rPr lang="en-US" sz="1200" b="0" i="0" baseline="0" dirty="0" err="1">
              <a:solidFill>
                <a:sysClr val="windowText" lastClr="000000"/>
              </a:solidFill>
              <a:effectLst/>
              <a:latin typeface="Arial Narrow" panose="020B0606020202030204" pitchFamily="34" charset="0"/>
            </a:rPr>
            <a:t>all'indagine</a:t>
          </a:r>
          <a:r>
            <a:rPr lang="en-US" sz="1200" b="0" i="0" baseline="0" dirty="0">
              <a:solidFill>
                <a:sysClr val="windowText" lastClr="000000"/>
              </a:solidFill>
              <a:effectLst/>
              <a:latin typeface="Arial Narrow" panose="020B0606020202030204" pitchFamily="34" charset="0"/>
            </a:rPr>
            <a:t>, </a:t>
          </a:r>
          <a:r>
            <a:rPr lang="en-US" sz="1200" b="0" i="0" baseline="0" dirty="0" err="1">
              <a:solidFill>
                <a:sysClr val="windowText" lastClr="000000"/>
              </a:solidFill>
              <a:effectLst/>
              <a:latin typeface="Arial Narrow" panose="020B0606020202030204" pitchFamily="34" charset="0"/>
            </a:rPr>
            <a:t>possibilità</a:t>
          </a:r>
          <a:r>
            <a:rPr lang="en-US" sz="1200" b="0" i="0" baseline="0" dirty="0">
              <a:solidFill>
                <a:sysClr val="windowText" lastClr="000000"/>
              </a:solidFill>
              <a:effectLst/>
              <a:latin typeface="Arial Narrow" panose="020B0606020202030204" pitchFamily="34" charset="0"/>
            </a:rPr>
            <a:t> di </a:t>
          </a:r>
          <a:r>
            <a:rPr lang="en-US" sz="1200" b="0" i="0" baseline="0" dirty="0" err="1">
              <a:solidFill>
                <a:sysClr val="windowText" lastClr="000000"/>
              </a:solidFill>
              <a:effectLst/>
              <a:latin typeface="Arial Narrow" panose="020B0606020202030204" pitchFamily="34" charset="0"/>
            </a:rPr>
            <a:t>risposte</a:t>
          </a:r>
          <a:r>
            <a:rPr lang="en-US" sz="1200" b="0" i="0" baseline="0" dirty="0">
              <a:solidFill>
                <a:sysClr val="windowText" lastClr="000000"/>
              </a:solidFill>
              <a:effectLst/>
              <a:latin typeface="Arial Narrow" panose="020B0606020202030204" pitchFamily="34" charset="0"/>
            </a:rPr>
            <a:t> multiple</a:t>
          </a:r>
        </a:p>
        <a:p xmlns:a="http://schemas.openxmlformats.org/drawingml/2006/main">
          <a:pPr algn="l" rtl="0">
            <a:defRPr sz="1400" b="0" i="0" u="none" strike="noStrike" baseline="0">
              <a:solidFill>
                <a:prstClr val="black">
                  <a:lumMod val="65000"/>
                  <a:lumOff val="35000"/>
                </a:prstClr>
              </a:solidFill>
              <a:latin typeface="+mn-lt"/>
              <a:ea typeface="+mn-ea"/>
              <a:cs typeface="+mn-cs"/>
            </a:defRPr>
          </a:pPr>
          <a:r>
            <a:rPr lang="en-US" sz="1200" b="0" i="0" baseline="0" dirty="0">
              <a:solidFill>
                <a:schemeClr val="accent1">
                  <a:lumMod val="50000"/>
                </a:schemeClr>
              </a:solidFill>
              <a:effectLst/>
              <a:latin typeface="Arial Narrow" panose="020B0606020202030204" pitchFamily="34" charset="0"/>
            </a:rPr>
            <a:t>■</a:t>
          </a:r>
          <a:r>
            <a:rPr lang="en-US" sz="1200" b="0" i="0" baseline="0" dirty="0">
              <a:solidFill>
                <a:sysClr val="windowText" lastClr="000000"/>
              </a:solidFill>
              <a:effectLst/>
              <a:latin typeface="Arial Narrow" panose="020B0606020202030204" pitchFamily="34" charset="0"/>
            </a:rPr>
            <a:t>Totale</a:t>
          </a:r>
          <a:r>
            <a:rPr lang="en-US" sz="1200" b="0" i="0" baseline="0" dirty="0">
              <a:solidFill>
                <a:srgbClr val="012169"/>
              </a:solidFill>
              <a:effectLst/>
              <a:latin typeface="Arial Narrow" panose="020B0606020202030204" pitchFamily="34" charset="0"/>
            </a:rPr>
            <a:t> </a:t>
          </a:r>
          <a:r>
            <a:rPr lang="en-US" sz="1200" b="0" i="0" baseline="0" dirty="0">
              <a:solidFill>
                <a:schemeClr val="accent1"/>
              </a:solidFill>
              <a:effectLst/>
              <a:latin typeface="Arial Narrow" panose="020B0606020202030204" pitchFamily="34" charset="0"/>
            </a:rPr>
            <a:t>■</a:t>
          </a:r>
          <a:r>
            <a:rPr lang="en-US" sz="1200" b="0" i="0" baseline="0" dirty="0">
              <a:solidFill>
                <a:sysClr val="windowText" lastClr="000000"/>
              </a:solidFill>
              <a:effectLst/>
              <a:latin typeface="Arial Narrow" panose="020B0606020202030204" pitchFamily="34" charset="0"/>
            </a:rPr>
            <a:t>Nessuna variazione nelle quote di mercato </a:t>
          </a:r>
          <a:r>
            <a:rPr lang="en-US" sz="1200" b="0" i="0" baseline="0" dirty="0">
              <a:solidFill>
                <a:schemeClr val="accent1">
                  <a:lumMod val="20000"/>
                  <a:lumOff val="80000"/>
                </a:schemeClr>
              </a:solidFill>
              <a:effectLst/>
              <a:latin typeface="Arial Narrow" panose="020B0606020202030204" pitchFamily="34" charset="0"/>
            </a:rPr>
            <a:t>■</a:t>
          </a:r>
          <a:r>
            <a:rPr lang="en-US" sz="1200" b="0" i="0" baseline="0" dirty="0">
              <a:solidFill>
                <a:sysClr val="windowText" lastClr="000000"/>
              </a:solidFill>
              <a:effectLst/>
              <a:latin typeface="Arial Narrow" panose="020B0606020202030204" pitchFamily="34" charset="0"/>
            </a:rPr>
            <a:t>Aumento delle quote di mercato</a:t>
          </a:r>
        </a:p>
        <a:p xmlns:a="http://schemas.openxmlformats.org/drawingml/2006/main">
          <a:pPr algn="l" rtl="0">
            <a:defRPr sz="1400" b="0" i="0" u="none" strike="noStrike" baseline="0">
              <a:solidFill>
                <a:prstClr val="black">
                  <a:lumMod val="65000"/>
                  <a:lumOff val="35000"/>
                </a:prstClr>
              </a:solidFill>
              <a:latin typeface="+mn-lt"/>
              <a:ea typeface="+mn-ea"/>
              <a:cs typeface="+mn-cs"/>
            </a:defRPr>
          </a:pPr>
          <a:r>
            <a:rPr lang="en-US" sz="800" b="0" i="0" baseline="0" dirty="0">
              <a:solidFill>
                <a:schemeClr val="bg1">
                  <a:lumMod val="65000"/>
                </a:schemeClr>
              </a:solidFill>
              <a:effectLst/>
              <a:latin typeface="Arial Narrow" panose="020B0606020202030204" pitchFamily="34" charset="0"/>
            </a:rPr>
            <a:t>Fonte: </a:t>
          </a:r>
          <a:r>
            <a:rPr lang="en-US" sz="800" b="0" i="0" baseline="0" dirty="0" err="1">
              <a:solidFill>
                <a:schemeClr val="bg1">
                  <a:lumMod val="65000"/>
                </a:schemeClr>
              </a:solidFill>
              <a:effectLst/>
              <a:latin typeface="Arial Narrow" panose="020B0606020202030204" pitchFamily="34" charset="0"/>
            </a:rPr>
            <a:t>Studi</a:t>
          </a:r>
          <a:r>
            <a:rPr lang="en-US" sz="800" b="0" i="0" baseline="0" dirty="0">
              <a:solidFill>
                <a:schemeClr val="bg1">
                  <a:lumMod val="65000"/>
                </a:schemeClr>
              </a:solidFill>
              <a:effectLst/>
              <a:latin typeface="Arial Narrow" panose="020B0606020202030204" pitchFamily="34" charset="0"/>
            </a:rPr>
            <a:t> Confindustria Bergamo - </a:t>
          </a:r>
          <a:r>
            <a:rPr lang="en-US" sz="800" b="0" i="0" baseline="0" dirty="0" err="1">
              <a:solidFill>
                <a:schemeClr val="bg1">
                  <a:lumMod val="65000"/>
                </a:schemeClr>
              </a:solidFill>
              <a:effectLst/>
              <a:latin typeface="Arial Narrow" panose="020B0606020202030204" pitchFamily="34" charset="0"/>
            </a:rPr>
            <a:t>estratto</a:t>
          </a:r>
          <a:r>
            <a:rPr lang="en-US" sz="800" b="0" i="0" baseline="0" dirty="0">
              <a:solidFill>
                <a:schemeClr val="bg1">
                  <a:lumMod val="65000"/>
                </a:schemeClr>
              </a:solidFill>
              <a:effectLst/>
              <a:latin typeface="Arial Narrow" panose="020B0606020202030204" pitchFamily="34" charset="0"/>
            </a:rPr>
            <a:t> </a:t>
          </a:r>
          <a:r>
            <a:rPr lang="en-US" sz="800" b="0" i="0" baseline="0" dirty="0" err="1">
              <a:solidFill>
                <a:schemeClr val="bg1">
                  <a:lumMod val="65000"/>
                </a:schemeClr>
              </a:solidFill>
              <a:effectLst/>
              <a:latin typeface="Arial Narrow" panose="020B0606020202030204" pitchFamily="34" charset="0"/>
            </a:rPr>
            <a:t>Indagine</a:t>
          </a:r>
          <a:r>
            <a:rPr lang="en-US" sz="800" b="0" i="0" baseline="0" dirty="0">
              <a:solidFill>
                <a:schemeClr val="bg1">
                  <a:lumMod val="65000"/>
                </a:schemeClr>
              </a:solidFill>
              <a:effectLst/>
              <a:latin typeface="Arial Narrow" panose="020B0606020202030204" pitchFamily="34" charset="0"/>
            </a:rPr>
            <a:t> </a:t>
          </a:r>
          <a:r>
            <a:rPr lang="en-US" sz="800" b="0" i="0" baseline="0" dirty="0" err="1">
              <a:solidFill>
                <a:schemeClr val="bg1">
                  <a:lumMod val="65000"/>
                </a:schemeClr>
              </a:solidFill>
              <a:effectLst/>
              <a:latin typeface="Arial Narrow" panose="020B0606020202030204" pitchFamily="34" charset="0"/>
            </a:rPr>
            <a:t>Internazionalizzazione</a:t>
          </a:r>
          <a:r>
            <a:rPr lang="en-US" sz="800" b="0" i="0" baseline="0" dirty="0">
              <a:solidFill>
                <a:schemeClr val="bg1">
                  <a:lumMod val="65000"/>
                </a:schemeClr>
              </a:solidFill>
              <a:effectLst/>
              <a:latin typeface="Arial Narrow" panose="020B0606020202030204" pitchFamily="34" charset="0"/>
            </a:rPr>
            <a:t> 2023</a:t>
          </a:r>
          <a:endParaRPr lang="en-US" sz="800" dirty="0">
            <a:solidFill>
              <a:schemeClr val="bg1">
                <a:lumMod val="65000"/>
              </a:schemeClr>
            </a:solidFill>
            <a:effectLst/>
            <a:latin typeface="Arial Narrow" panose="020B0606020202030204" pitchFamily="34" charset="0"/>
          </a:endParaRPr>
        </a:p>
      </cdr:txBody>
    </cdr:sp>
  </cdr:relSizeAnchor>
</c:userShape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Rossana Pecchi</dc:creator>
  <cp:keywords/>
  <dc:description/>
  <cp:lastModifiedBy>Rossana Pecchi</cp:lastModifiedBy>
  <cp:revision>2</cp:revision>
  <dcterms:created xsi:type="dcterms:W3CDTF">2023-09-12T12:13:00Z</dcterms:created>
  <dcterms:modified xsi:type="dcterms:W3CDTF">2023-09-12T12:13:00Z</dcterms:modified>
</cp:coreProperties>
</file>