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72"/>
        <w:gridCol w:w="1485"/>
        <w:gridCol w:w="1485"/>
        <w:gridCol w:w="2090"/>
      </w:tblGrid>
      <w:tr w:rsidR="005E6E0A" w14:paraId="585EF8B9" w14:textId="77777777" w:rsidTr="005E6E0A">
        <w:tc>
          <w:tcPr>
            <w:tcW w:w="4572" w:type="dxa"/>
          </w:tcPr>
          <w:p w14:paraId="0397526D" w14:textId="7935E012" w:rsidR="005E6E0A" w:rsidRDefault="005E6E0A" w:rsidP="00D85794">
            <w:pPr>
              <w:pBdr>
                <w:top w:val="none" w:sz="0" w:space="0" w:color="auto"/>
                <w:left w:val="none" w:sz="0" w:space="0" w:color="auto"/>
                <w:bottom w:val="none" w:sz="0" w:space="0" w:color="auto"/>
                <w:right w:val="none" w:sz="0" w:space="0" w:color="auto"/>
                <w:between w:val="none" w:sz="0" w:space="0" w:color="auto"/>
                <w:bar w:val="none" w:sz="0" w:color="auto"/>
              </w:pBdr>
              <w:rPr>
                <w:noProof/>
              </w:rPr>
            </w:pPr>
          </w:p>
        </w:tc>
        <w:tc>
          <w:tcPr>
            <w:tcW w:w="1485" w:type="dxa"/>
          </w:tcPr>
          <w:p w14:paraId="5F41D52B" w14:textId="77777777" w:rsidR="005E6E0A" w:rsidRDefault="005E6E0A" w:rsidP="00FE10AF">
            <w:pPr>
              <w:pBdr>
                <w:top w:val="none" w:sz="0" w:space="0" w:color="auto"/>
                <w:left w:val="none" w:sz="0" w:space="0" w:color="auto"/>
                <w:bottom w:val="none" w:sz="0" w:space="0" w:color="auto"/>
                <w:right w:val="none" w:sz="0" w:space="0" w:color="auto"/>
                <w:between w:val="none" w:sz="0" w:space="0" w:color="auto"/>
                <w:bar w:val="none" w:sz="0" w:color="auto"/>
              </w:pBdr>
              <w:jc w:val="center"/>
              <w:rPr>
                <w:noProof/>
              </w:rPr>
            </w:pPr>
          </w:p>
        </w:tc>
        <w:tc>
          <w:tcPr>
            <w:tcW w:w="1485" w:type="dxa"/>
          </w:tcPr>
          <w:p w14:paraId="7B9BCDF3" w14:textId="77777777" w:rsidR="005E6E0A" w:rsidRDefault="005E6E0A" w:rsidP="005E6E0A">
            <w:pPr>
              <w:pBdr>
                <w:top w:val="none" w:sz="0" w:space="0" w:color="auto"/>
                <w:left w:val="none" w:sz="0" w:space="0" w:color="auto"/>
                <w:bottom w:val="none" w:sz="0" w:space="0" w:color="auto"/>
                <w:right w:val="none" w:sz="0" w:space="0" w:color="auto"/>
                <w:between w:val="none" w:sz="0" w:space="0" w:color="auto"/>
                <w:bar w:val="none" w:sz="0" w:color="auto"/>
              </w:pBdr>
              <w:rPr>
                <w:noProof/>
              </w:rPr>
            </w:pPr>
          </w:p>
        </w:tc>
        <w:tc>
          <w:tcPr>
            <w:tcW w:w="2090" w:type="dxa"/>
          </w:tcPr>
          <w:p w14:paraId="2338E2BC" w14:textId="3CE35B64" w:rsidR="005E6E0A" w:rsidRPr="00FE10AF" w:rsidRDefault="005E6E0A" w:rsidP="00891EF7">
            <w:pPr>
              <w:pBdr>
                <w:top w:val="none" w:sz="0" w:space="0" w:color="auto"/>
                <w:left w:val="none" w:sz="0" w:space="0" w:color="auto"/>
                <w:bottom w:val="none" w:sz="0" w:space="0" w:color="auto"/>
                <w:right w:val="none" w:sz="0" w:space="0" w:color="auto"/>
                <w:between w:val="none" w:sz="0" w:space="0" w:color="auto"/>
                <w:bar w:val="none" w:sz="0" w:color="auto"/>
              </w:pBdr>
              <w:rPr>
                <w:b/>
                <w:noProof/>
                <w:sz w:val="28"/>
                <w:szCs w:val="28"/>
              </w:rPr>
            </w:pPr>
          </w:p>
        </w:tc>
      </w:tr>
    </w:tbl>
    <w:p w14:paraId="3B3069A1" w14:textId="673EE214" w:rsidR="00BB26CC" w:rsidRDefault="00F97000">
      <w:pPr>
        <w:jc w:val="center"/>
        <w:rPr>
          <w:rFonts w:ascii="Arial" w:hAnsi="Arial"/>
          <w:b/>
          <w:bCs/>
          <w:sz w:val="28"/>
          <w:szCs w:val="28"/>
          <w:u w:val="single"/>
        </w:rPr>
      </w:pPr>
      <w:r>
        <w:rPr>
          <w:rFonts w:ascii="Arial" w:hAnsi="Arial"/>
          <w:b/>
          <w:bCs/>
          <w:sz w:val="28"/>
          <w:szCs w:val="28"/>
          <w:u w:val="single"/>
        </w:rPr>
        <w:t>COMUNICATO STAMPA</w:t>
      </w:r>
    </w:p>
    <w:p w14:paraId="4B511C2E" w14:textId="77777777" w:rsidR="00D77B38" w:rsidRDefault="00D77B38" w:rsidP="00D77B38">
      <w:pPr>
        <w:jc w:val="center"/>
        <w:rPr>
          <w:rFonts w:ascii="Arial" w:hAnsi="Arial" w:cs="Arial"/>
          <w:b/>
          <w:bCs/>
          <w:sz w:val="28"/>
          <w:szCs w:val="28"/>
        </w:rPr>
      </w:pPr>
    </w:p>
    <w:p w14:paraId="01B2F0A0" w14:textId="15351E72" w:rsidR="00D77B38" w:rsidRDefault="007B5386" w:rsidP="00E8573E">
      <w:pPr>
        <w:jc w:val="center"/>
        <w:rPr>
          <w:rFonts w:ascii="Arial" w:hAnsi="Arial" w:cs="Arial"/>
          <w:b/>
          <w:bCs/>
          <w:sz w:val="28"/>
          <w:szCs w:val="28"/>
        </w:rPr>
      </w:pPr>
      <w:r w:rsidRPr="007B5386">
        <w:rPr>
          <w:rFonts w:ascii="Arial" w:hAnsi="Arial" w:cs="Arial"/>
          <w:b/>
          <w:bCs/>
          <w:sz w:val="28"/>
          <w:szCs w:val="28"/>
        </w:rPr>
        <w:t xml:space="preserve">CONFINDUSTRIA BERGAMO COMITATO PICCOLA INDUSTRIA </w:t>
      </w:r>
      <w:r w:rsidR="00891EF7">
        <w:rPr>
          <w:rFonts w:ascii="Arial" w:hAnsi="Arial" w:cs="Arial"/>
          <w:b/>
          <w:bCs/>
          <w:sz w:val="28"/>
          <w:szCs w:val="28"/>
        </w:rPr>
        <w:t xml:space="preserve">E </w:t>
      </w:r>
      <w:r w:rsidR="00D77B38" w:rsidRPr="00315699">
        <w:rPr>
          <w:rFonts w:ascii="Arial" w:hAnsi="Arial" w:cs="Arial"/>
          <w:b/>
          <w:bCs/>
          <w:sz w:val="28"/>
          <w:szCs w:val="28"/>
        </w:rPr>
        <w:t>INTESA SANPAOLO</w:t>
      </w:r>
      <w:r w:rsidR="00F105E2" w:rsidRPr="00315699">
        <w:rPr>
          <w:rFonts w:ascii="Arial" w:hAnsi="Arial" w:cs="Arial"/>
          <w:b/>
          <w:bCs/>
          <w:sz w:val="28"/>
          <w:szCs w:val="28"/>
        </w:rPr>
        <w:t xml:space="preserve"> </w:t>
      </w:r>
      <w:r w:rsidR="00891EF7">
        <w:rPr>
          <w:rFonts w:ascii="Arial" w:hAnsi="Arial" w:cs="Arial"/>
          <w:b/>
          <w:bCs/>
          <w:sz w:val="28"/>
          <w:szCs w:val="28"/>
        </w:rPr>
        <w:t xml:space="preserve">INSIEME </w:t>
      </w:r>
      <w:r w:rsidR="00F105E2" w:rsidRPr="00F105E2">
        <w:rPr>
          <w:rFonts w:ascii="Arial" w:hAnsi="Arial" w:cs="Arial"/>
          <w:b/>
          <w:bCs/>
          <w:sz w:val="28"/>
          <w:szCs w:val="28"/>
        </w:rPr>
        <w:t>PER</w:t>
      </w:r>
      <w:r w:rsidR="00577EC4">
        <w:rPr>
          <w:rFonts w:ascii="Arial" w:hAnsi="Arial" w:cs="Arial"/>
          <w:b/>
          <w:bCs/>
          <w:sz w:val="28"/>
          <w:szCs w:val="28"/>
        </w:rPr>
        <w:t xml:space="preserve"> </w:t>
      </w:r>
      <w:r w:rsidR="003731E4">
        <w:rPr>
          <w:rFonts w:ascii="Arial" w:hAnsi="Arial" w:cs="Arial"/>
          <w:b/>
          <w:bCs/>
          <w:sz w:val="28"/>
          <w:szCs w:val="28"/>
        </w:rPr>
        <w:t xml:space="preserve">LA </w:t>
      </w:r>
      <w:r w:rsidR="00891EF7">
        <w:rPr>
          <w:rFonts w:ascii="Arial" w:hAnsi="Arial" w:cs="Arial"/>
          <w:b/>
          <w:bCs/>
          <w:sz w:val="28"/>
          <w:szCs w:val="28"/>
        </w:rPr>
        <w:t>CRESCITA</w:t>
      </w:r>
      <w:r w:rsidR="003731E4">
        <w:rPr>
          <w:rFonts w:ascii="Arial" w:hAnsi="Arial" w:cs="Arial"/>
          <w:b/>
          <w:bCs/>
          <w:sz w:val="28"/>
          <w:szCs w:val="28"/>
        </w:rPr>
        <w:t xml:space="preserve"> SOSTENIBILE </w:t>
      </w:r>
      <w:r w:rsidR="00891EF7">
        <w:rPr>
          <w:rFonts w:ascii="Arial" w:hAnsi="Arial" w:cs="Arial"/>
          <w:b/>
          <w:bCs/>
          <w:sz w:val="28"/>
          <w:szCs w:val="28"/>
        </w:rPr>
        <w:t xml:space="preserve">DELLE </w:t>
      </w:r>
      <w:r w:rsidR="00FB0B44">
        <w:rPr>
          <w:rFonts w:ascii="Arial" w:hAnsi="Arial" w:cs="Arial"/>
          <w:b/>
          <w:bCs/>
          <w:sz w:val="28"/>
          <w:szCs w:val="28"/>
        </w:rPr>
        <w:t>AZIENDE DEL TERRITORIO</w:t>
      </w:r>
    </w:p>
    <w:p w14:paraId="31DDB4BC" w14:textId="77777777" w:rsidR="00EA32D9" w:rsidRPr="00F105E2" w:rsidRDefault="00EA32D9" w:rsidP="006B6F9C">
      <w:pPr>
        <w:spacing w:before="120" w:after="120"/>
        <w:jc w:val="center"/>
        <w:rPr>
          <w:rFonts w:ascii="Arial" w:hAnsi="Arial" w:cs="Arial"/>
          <w:b/>
          <w:bCs/>
          <w:color w:val="auto"/>
          <w:sz w:val="28"/>
          <w:szCs w:val="28"/>
        </w:rPr>
      </w:pPr>
    </w:p>
    <w:p w14:paraId="43FD4EBA" w14:textId="77777777" w:rsidR="006B6F9C" w:rsidRPr="008D702E" w:rsidRDefault="00EA32D9" w:rsidP="005D01ED">
      <w:pPr>
        <w:numPr>
          <w:ilvl w:val="0"/>
          <w:numId w:val="2"/>
        </w:numPr>
        <w:autoSpaceDE w:val="0"/>
        <w:autoSpaceDN w:val="0"/>
        <w:adjustRightInd w:val="0"/>
        <w:spacing w:before="120" w:after="120"/>
        <w:jc w:val="both"/>
        <w:rPr>
          <w:rFonts w:ascii="Arial" w:hAnsi="Arial" w:cs="Arial"/>
          <w:b/>
          <w:bCs/>
        </w:rPr>
      </w:pPr>
      <w:r w:rsidRPr="008D702E">
        <w:rPr>
          <w:rFonts w:ascii="Arial" w:hAnsi="Arial" w:cs="Arial"/>
          <w:b/>
          <w:bCs/>
        </w:rPr>
        <w:t>Focus su investimenti ESG, accesso al plafond Circular Economy di Intesa Sanpaolo,</w:t>
      </w:r>
      <w:r w:rsidRPr="008D702E">
        <w:rPr>
          <w:rStyle w:val="Numeropagina"/>
          <w:rFonts w:ascii="Arial" w:hAnsi="Arial" w:cs="Arial"/>
          <w:b/>
          <w:bCs/>
        </w:rPr>
        <w:t xml:space="preserve"> </w:t>
      </w:r>
      <w:r w:rsidRPr="008D702E">
        <w:rPr>
          <w:rFonts w:ascii="Arial" w:hAnsi="Arial" w:cs="Arial"/>
          <w:b/>
          <w:bCs/>
        </w:rPr>
        <w:t>finanziamenti innovativi per transizione sostenibile, energetica e digitalizzazione,</w:t>
      </w:r>
      <w:r w:rsidR="002E4D9A" w:rsidRPr="008D702E">
        <w:rPr>
          <w:rStyle w:val="Numeropagina"/>
          <w:rFonts w:ascii="Arial" w:hAnsi="Arial" w:cs="Arial"/>
          <w:b/>
          <w:bCs/>
        </w:rPr>
        <w:t xml:space="preserve"> </w:t>
      </w:r>
      <w:r w:rsidRPr="008D702E">
        <w:rPr>
          <w:rFonts w:ascii="Arial" w:hAnsi="Arial" w:cs="Arial"/>
          <w:b/>
          <w:bCs/>
        </w:rPr>
        <w:t>iniziative per l’accesso ai fondi del Pnrr</w:t>
      </w:r>
    </w:p>
    <w:p w14:paraId="4B2CE577" w14:textId="77777777" w:rsidR="008D702E" w:rsidRPr="008D702E" w:rsidRDefault="008D702E" w:rsidP="008D702E">
      <w:pPr>
        <w:pStyle w:val="Paragrafoelenco"/>
        <w:numPr>
          <w:ilvl w:val="0"/>
          <w:numId w:val="2"/>
        </w:numPr>
        <w:autoSpaceDE w:val="0"/>
        <w:autoSpaceDN w:val="0"/>
        <w:adjustRightInd w:val="0"/>
        <w:spacing w:before="120" w:after="120"/>
        <w:ind w:left="351" w:hanging="357"/>
        <w:contextualSpacing w:val="0"/>
        <w:jc w:val="both"/>
        <w:rPr>
          <w:rFonts w:ascii="Arial" w:hAnsi="Arial" w:cs="Arial"/>
          <w:b/>
          <w:bCs/>
        </w:rPr>
      </w:pPr>
      <w:r w:rsidRPr="008D702E">
        <w:rPr>
          <w:rFonts w:ascii="Arial" w:hAnsi="Arial" w:cs="Arial"/>
          <w:b/>
          <w:bCs/>
        </w:rPr>
        <w:t>In Lombardia, la banca ha attivato oltre 200 contratti di filiera, che coinvolgono 4.200 fornitori per un giro d’affari di oltre 24 miliardi di euro.</w:t>
      </w:r>
    </w:p>
    <w:p w14:paraId="07F8F5CE" w14:textId="77777777" w:rsidR="008D702E" w:rsidRPr="008D702E" w:rsidRDefault="008D702E" w:rsidP="008D702E">
      <w:pPr>
        <w:pStyle w:val="Paragrafoelenco"/>
        <w:numPr>
          <w:ilvl w:val="0"/>
          <w:numId w:val="2"/>
        </w:numPr>
        <w:autoSpaceDE w:val="0"/>
        <w:autoSpaceDN w:val="0"/>
        <w:adjustRightInd w:val="0"/>
        <w:spacing w:before="120" w:after="120"/>
        <w:ind w:left="351" w:hanging="357"/>
        <w:contextualSpacing w:val="0"/>
        <w:jc w:val="both"/>
        <w:rPr>
          <w:rFonts w:ascii="Arial" w:hAnsi="Arial" w:cs="Arial"/>
          <w:b/>
          <w:bCs/>
        </w:rPr>
      </w:pPr>
      <w:r w:rsidRPr="008D702E">
        <w:rPr>
          <w:rFonts w:ascii="Arial" w:hAnsi="Arial" w:cs="Arial"/>
          <w:b/>
          <w:bCs/>
        </w:rPr>
        <w:t>Erogati 1,8 miliardi di euro alle imprese lombarde per investimenti finalizzati al raggiungimento di obiettivi ESG e in circular economy</w:t>
      </w:r>
    </w:p>
    <w:p w14:paraId="077A1524" w14:textId="4477D398" w:rsidR="006B6F9C" w:rsidRPr="008D702E" w:rsidRDefault="006B6F9C" w:rsidP="005D01ED">
      <w:pPr>
        <w:numPr>
          <w:ilvl w:val="0"/>
          <w:numId w:val="2"/>
        </w:numPr>
        <w:autoSpaceDE w:val="0"/>
        <w:autoSpaceDN w:val="0"/>
        <w:adjustRightInd w:val="0"/>
        <w:spacing w:before="120" w:after="120"/>
        <w:jc w:val="both"/>
        <w:rPr>
          <w:rFonts w:ascii="Arial" w:hAnsi="Arial" w:cs="Arial"/>
          <w:b/>
          <w:bCs/>
        </w:rPr>
      </w:pPr>
      <w:r w:rsidRPr="008D702E">
        <w:rPr>
          <w:rFonts w:ascii="Arial" w:hAnsi="Arial" w:cs="Arial"/>
          <w:b/>
          <w:bCs/>
        </w:rPr>
        <w:t>Già accompagnate circa 800 imprese lombarde ad accedere ai fondi del PNRR.</w:t>
      </w:r>
    </w:p>
    <w:p w14:paraId="3B625187" w14:textId="77777777" w:rsidR="00655B3F" w:rsidRPr="001407E7" w:rsidRDefault="00655B3F" w:rsidP="00655B3F">
      <w:pPr>
        <w:autoSpaceDE w:val="0"/>
        <w:autoSpaceDN w:val="0"/>
        <w:adjustRightInd w:val="0"/>
        <w:spacing w:before="120" w:after="120"/>
        <w:rPr>
          <w:rStyle w:val="Numeropagina"/>
          <w:sz w:val="22"/>
          <w:szCs w:val="22"/>
        </w:rPr>
      </w:pPr>
    </w:p>
    <w:p w14:paraId="6AB6AE89" w14:textId="72B49535" w:rsidR="007C513D" w:rsidRPr="00D9023A" w:rsidRDefault="007B5386" w:rsidP="006F568F">
      <w:pPr>
        <w:spacing w:before="120" w:after="120"/>
        <w:jc w:val="both"/>
        <w:rPr>
          <w:sz w:val="23"/>
          <w:szCs w:val="23"/>
        </w:rPr>
      </w:pPr>
      <w:r w:rsidRPr="00D9023A">
        <w:rPr>
          <w:i/>
          <w:sz w:val="23"/>
          <w:szCs w:val="23"/>
        </w:rPr>
        <w:t>Bergamo</w:t>
      </w:r>
      <w:r w:rsidR="00FD3163" w:rsidRPr="00D9023A">
        <w:rPr>
          <w:i/>
          <w:sz w:val="23"/>
          <w:szCs w:val="23"/>
        </w:rPr>
        <w:t xml:space="preserve">, </w:t>
      </w:r>
      <w:r w:rsidR="00C62D5C" w:rsidRPr="00D9023A">
        <w:rPr>
          <w:i/>
          <w:sz w:val="23"/>
          <w:szCs w:val="23"/>
        </w:rPr>
        <w:t>11</w:t>
      </w:r>
      <w:r w:rsidR="00FD3163" w:rsidRPr="00D9023A">
        <w:rPr>
          <w:i/>
          <w:sz w:val="23"/>
          <w:szCs w:val="23"/>
        </w:rPr>
        <w:t xml:space="preserve"> </w:t>
      </w:r>
      <w:r w:rsidRPr="00D9023A">
        <w:rPr>
          <w:i/>
          <w:sz w:val="23"/>
          <w:szCs w:val="23"/>
        </w:rPr>
        <w:t>luglio</w:t>
      </w:r>
      <w:r w:rsidR="00FD3163" w:rsidRPr="00D9023A">
        <w:rPr>
          <w:i/>
          <w:sz w:val="23"/>
          <w:szCs w:val="23"/>
        </w:rPr>
        <w:t xml:space="preserve"> 202</w:t>
      </w:r>
      <w:r w:rsidRPr="00D9023A">
        <w:rPr>
          <w:i/>
          <w:sz w:val="23"/>
          <w:szCs w:val="23"/>
        </w:rPr>
        <w:t>3</w:t>
      </w:r>
      <w:r w:rsidR="00FD3163" w:rsidRPr="00D9023A">
        <w:rPr>
          <w:sz w:val="23"/>
          <w:szCs w:val="23"/>
        </w:rPr>
        <w:t xml:space="preserve"> – </w:t>
      </w:r>
      <w:r w:rsidRPr="00D9023A">
        <w:rPr>
          <w:sz w:val="23"/>
          <w:szCs w:val="23"/>
        </w:rPr>
        <w:t xml:space="preserve">Confindustria Bergamo Comitato Piccola Industria </w:t>
      </w:r>
      <w:r w:rsidR="008738E3" w:rsidRPr="00D9023A">
        <w:rPr>
          <w:sz w:val="23"/>
          <w:szCs w:val="23"/>
        </w:rPr>
        <w:t xml:space="preserve">e Intesa Sanpaolo hanno siglato un accordo per favorire la crescita sostenibile delle imprese rafforzando ulteriormente </w:t>
      </w:r>
      <w:r w:rsidR="00655B3F" w:rsidRPr="00D9023A">
        <w:rPr>
          <w:sz w:val="23"/>
          <w:szCs w:val="23"/>
        </w:rPr>
        <w:t xml:space="preserve">la collaborazione </w:t>
      </w:r>
      <w:r w:rsidR="00220860" w:rsidRPr="00D9023A">
        <w:rPr>
          <w:sz w:val="23"/>
          <w:szCs w:val="23"/>
        </w:rPr>
        <w:t>nell’ambito del protocollo</w:t>
      </w:r>
      <w:r w:rsidR="00655B3F" w:rsidRPr="00D9023A">
        <w:rPr>
          <w:sz w:val="23"/>
          <w:szCs w:val="23"/>
        </w:rPr>
        <w:t xml:space="preserve"> nazionale “Competitività, Innovazione, Sostenibilità”</w:t>
      </w:r>
      <w:r w:rsidR="007D6021" w:rsidRPr="00D9023A">
        <w:rPr>
          <w:sz w:val="23"/>
          <w:szCs w:val="23"/>
        </w:rPr>
        <w:t>,</w:t>
      </w:r>
      <w:r w:rsidR="007C513D" w:rsidRPr="00D9023A">
        <w:rPr>
          <w:sz w:val="23"/>
          <w:szCs w:val="23"/>
        </w:rPr>
        <w:t xml:space="preserve"> che mette a disposizione oltre 40 miliardi di euro per le imprese</w:t>
      </w:r>
      <w:r w:rsidR="007C513D" w:rsidRPr="00D9023A">
        <w:rPr>
          <w:b/>
          <w:sz w:val="23"/>
          <w:szCs w:val="23"/>
        </w:rPr>
        <w:t xml:space="preserve"> </w:t>
      </w:r>
      <w:r w:rsidR="007C513D" w:rsidRPr="00D9023A">
        <w:rPr>
          <w:bCs/>
          <w:sz w:val="23"/>
          <w:szCs w:val="23"/>
        </w:rPr>
        <w:t>lombarde</w:t>
      </w:r>
      <w:r w:rsidR="00220860" w:rsidRPr="00D9023A">
        <w:rPr>
          <w:sz w:val="23"/>
          <w:szCs w:val="23"/>
        </w:rPr>
        <w:t xml:space="preserve"> </w:t>
      </w:r>
      <w:r w:rsidR="007C513D" w:rsidRPr="00D9023A">
        <w:rPr>
          <w:sz w:val="23"/>
          <w:szCs w:val="23"/>
        </w:rPr>
        <w:t xml:space="preserve">dei 150 miliardi di euro del </w:t>
      </w:r>
      <w:r w:rsidR="007C513D" w:rsidRPr="00D9023A">
        <w:rPr>
          <w:i/>
          <w:iCs/>
          <w:sz w:val="23"/>
          <w:szCs w:val="23"/>
        </w:rPr>
        <w:t>plafond</w:t>
      </w:r>
      <w:r w:rsidR="007C513D" w:rsidRPr="00D9023A">
        <w:rPr>
          <w:sz w:val="23"/>
          <w:szCs w:val="23"/>
        </w:rPr>
        <w:t xml:space="preserve"> nazionale, per promuovere l’evoluzione del sistema produttivo su questi tre </w:t>
      </w:r>
      <w:r w:rsidR="007C513D" w:rsidRPr="00D9023A">
        <w:rPr>
          <w:i/>
          <w:sz w:val="23"/>
          <w:szCs w:val="23"/>
        </w:rPr>
        <w:t>driver</w:t>
      </w:r>
      <w:r w:rsidR="007C513D" w:rsidRPr="00D9023A">
        <w:rPr>
          <w:sz w:val="23"/>
          <w:szCs w:val="23"/>
        </w:rPr>
        <w:t xml:space="preserve"> fondamentali per la crescita e in coerenza con il PNRR.</w:t>
      </w:r>
      <w:r w:rsidR="008738E3" w:rsidRPr="00D9023A">
        <w:rPr>
          <w:sz w:val="23"/>
          <w:szCs w:val="23"/>
        </w:rPr>
        <w:t xml:space="preserve"> </w:t>
      </w:r>
    </w:p>
    <w:p w14:paraId="6C3B23FF" w14:textId="361456AD" w:rsidR="00FD3163" w:rsidRPr="00D9023A" w:rsidRDefault="00FD3163" w:rsidP="006F568F">
      <w:pPr>
        <w:spacing w:before="120" w:after="120"/>
        <w:jc w:val="both"/>
        <w:rPr>
          <w:sz w:val="23"/>
          <w:szCs w:val="23"/>
        </w:rPr>
      </w:pPr>
      <w:r w:rsidRPr="00D9023A">
        <w:rPr>
          <w:sz w:val="23"/>
          <w:szCs w:val="23"/>
        </w:rPr>
        <w:t xml:space="preserve">I valori </w:t>
      </w:r>
      <w:r w:rsidRPr="00D9023A">
        <w:rPr>
          <w:i/>
          <w:sz w:val="23"/>
          <w:szCs w:val="23"/>
        </w:rPr>
        <w:t>ESG</w:t>
      </w:r>
      <w:r w:rsidR="00F807A7" w:rsidRPr="00D9023A">
        <w:rPr>
          <w:i/>
          <w:sz w:val="23"/>
          <w:szCs w:val="23"/>
        </w:rPr>
        <w:t>,</w:t>
      </w:r>
      <w:r w:rsidR="00F807A7" w:rsidRPr="00D9023A">
        <w:rPr>
          <w:sz w:val="23"/>
          <w:szCs w:val="23"/>
        </w:rPr>
        <w:t xml:space="preserve"> l’attenzione alle buone pratiche ambientali e sociali nella gestione aziendale e al capitale umano</w:t>
      </w:r>
      <w:r w:rsidR="00E337F7" w:rsidRPr="00D9023A">
        <w:rPr>
          <w:sz w:val="23"/>
          <w:szCs w:val="23"/>
        </w:rPr>
        <w:t xml:space="preserve">, </w:t>
      </w:r>
      <w:r w:rsidR="00096E43" w:rsidRPr="00D9023A">
        <w:rPr>
          <w:sz w:val="23"/>
          <w:szCs w:val="23"/>
        </w:rPr>
        <w:t>la digitalizzazione</w:t>
      </w:r>
      <w:r w:rsidR="00F807A7" w:rsidRPr="00D9023A">
        <w:rPr>
          <w:sz w:val="23"/>
          <w:szCs w:val="23"/>
        </w:rPr>
        <w:t xml:space="preserve"> e la transizione energetica </w:t>
      </w:r>
      <w:r w:rsidRPr="00D9023A">
        <w:rPr>
          <w:sz w:val="23"/>
          <w:szCs w:val="23"/>
        </w:rPr>
        <w:t>sono al centro del</w:t>
      </w:r>
      <w:r w:rsidR="00C547B3" w:rsidRPr="00D9023A">
        <w:rPr>
          <w:sz w:val="23"/>
          <w:szCs w:val="23"/>
        </w:rPr>
        <w:t xml:space="preserve">la nuova </w:t>
      </w:r>
      <w:r w:rsidR="00896ACE" w:rsidRPr="00D9023A">
        <w:rPr>
          <w:i/>
          <w:sz w:val="23"/>
          <w:szCs w:val="23"/>
        </w:rPr>
        <w:t>partnership</w:t>
      </w:r>
      <w:r w:rsidR="00896ACE" w:rsidRPr="00D9023A">
        <w:rPr>
          <w:sz w:val="23"/>
          <w:szCs w:val="23"/>
        </w:rPr>
        <w:t xml:space="preserve"> </w:t>
      </w:r>
      <w:r w:rsidR="00C547B3" w:rsidRPr="00D9023A">
        <w:rPr>
          <w:sz w:val="23"/>
          <w:szCs w:val="23"/>
        </w:rPr>
        <w:t xml:space="preserve">che ha l’obiettivo di </w:t>
      </w:r>
      <w:r w:rsidR="00E43299" w:rsidRPr="00D9023A">
        <w:rPr>
          <w:sz w:val="23"/>
          <w:szCs w:val="23"/>
        </w:rPr>
        <w:t xml:space="preserve">ampliare il </w:t>
      </w:r>
      <w:r w:rsidR="00C547B3" w:rsidRPr="00D9023A">
        <w:rPr>
          <w:sz w:val="23"/>
          <w:szCs w:val="23"/>
        </w:rPr>
        <w:t xml:space="preserve">sostegno </w:t>
      </w:r>
      <w:r w:rsidR="00AE0C65" w:rsidRPr="00D9023A">
        <w:rPr>
          <w:sz w:val="23"/>
          <w:szCs w:val="23"/>
        </w:rPr>
        <w:t xml:space="preserve">alle </w:t>
      </w:r>
      <w:r w:rsidR="000A354C" w:rsidRPr="00D9023A">
        <w:rPr>
          <w:sz w:val="23"/>
          <w:szCs w:val="23"/>
        </w:rPr>
        <w:t>aziende</w:t>
      </w:r>
      <w:r w:rsidR="00F807A7" w:rsidRPr="00D9023A">
        <w:rPr>
          <w:sz w:val="23"/>
          <w:szCs w:val="23"/>
        </w:rPr>
        <w:t xml:space="preserve"> e alle filiere</w:t>
      </w:r>
      <w:r w:rsidR="00AE0C65" w:rsidRPr="00D9023A">
        <w:rPr>
          <w:sz w:val="23"/>
          <w:szCs w:val="23"/>
        </w:rPr>
        <w:t xml:space="preserve"> </w:t>
      </w:r>
      <w:r w:rsidR="00A74D05" w:rsidRPr="00D9023A">
        <w:rPr>
          <w:sz w:val="23"/>
          <w:szCs w:val="23"/>
        </w:rPr>
        <w:t xml:space="preserve">per far fronte </w:t>
      </w:r>
      <w:r w:rsidR="00655B3F" w:rsidRPr="00D9023A">
        <w:rPr>
          <w:sz w:val="23"/>
          <w:szCs w:val="23"/>
        </w:rPr>
        <w:t>ai nuovi contesti di mercato, per garantirne la stabilità e la crescita nell’interesse delle nuove generazioni e del tessuto produttivo del territorio orobico.</w:t>
      </w:r>
      <w:r w:rsidR="00096E43" w:rsidRPr="00D9023A">
        <w:rPr>
          <w:sz w:val="23"/>
          <w:szCs w:val="23"/>
        </w:rPr>
        <w:t xml:space="preserve"> </w:t>
      </w:r>
    </w:p>
    <w:p w14:paraId="640B6AF9" w14:textId="77777777" w:rsidR="006B6F9C" w:rsidRPr="00D9023A" w:rsidRDefault="006B6F9C" w:rsidP="006B6F9C">
      <w:pPr>
        <w:pBdr>
          <w:top w:val="none" w:sz="0" w:space="0" w:color="auto"/>
          <w:left w:val="none" w:sz="0" w:space="0" w:color="auto"/>
          <w:bottom w:val="none" w:sz="0" w:space="0" w:color="auto"/>
          <w:right w:val="none" w:sz="0" w:space="0" w:color="auto"/>
          <w:bar w:val="none" w:sz="0" w:color="auto"/>
        </w:pBdr>
        <w:spacing w:before="120" w:after="120"/>
        <w:jc w:val="both"/>
        <w:rPr>
          <w:sz w:val="23"/>
          <w:szCs w:val="23"/>
          <w:lang w:val="x-none"/>
        </w:rPr>
      </w:pPr>
      <w:r w:rsidRPr="00D9023A">
        <w:rPr>
          <w:sz w:val="23"/>
          <w:szCs w:val="23"/>
          <w:lang w:val="x-none"/>
        </w:rPr>
        <w:t>Punti centrali del</w:t>
      </w:r>
      <w:r w:rsidRPr="00D9023A">
        <w:rPr>
          <w:sz w:val="23"/>
          <w:szCs w:val="23"/>
        </w:rPr>
        <w:t>l’accordo</w:t>
      </w:r>
      <w:r w:rsidRPr="00D9023A">
        <w:rPr>
          <w:sz w:val="23"/>
          <w:szCs w:val="23"/>
          <w:lang w:val="x-none"/>
        </w:rPr>
        <w:t xml:space="preserve"> sono l’accelerazione della </w:t>
      </w:r>
      <w:r w:rsidRPr="00D9023A">
        <w:rPr>
          <w:b/>
          <w:bCs/>
          <w:sz w:val="23"/>
          <w:szCs w:val="23"/>
          <w:lang w:val="x-none"/>
        </w:rPr>
        <w:t>transizione sostenibile</w:t>
      </w:r>
      <w:r w:rsidRPr="00D9023A">
        <w:rPr>
          <w:sz w:val="23"/>
          <w:szCs w:val="23"/>
          <w:lang w:val="x-none"/>
        </w:rPr>
        <w:t>, attraverso linee di finanziamento a medio-lungo termine che prevedono un innovativo meccanismo di premialità sui tassi in base al raggiungimento di</w:t>
      </w:r>
      <w:r w:rsidRPr="00D9023A">
        <w:rPr>
          <w:sz w:val="23"/>
          <w:szCs w:val="23"/>
        </w:rPr>
        <w:t xml:space="preserve"> </w:t>
      </w:r>
      <w:r w:rsidRPr="00D9023A">
        <w:rPr>
          <w:sz w:val="23"/>
          <w:szCs w:val="23"/>
          <w:lang w:val="x-none"/>
        </w:rPr>
        <w:t xml:space="preserve">obiettivi in ambito ESG; il sostegno lungo tutto il percorso della </w:t>
      </w:r>
      <w:r w:rsidRPr="00D9023A">
        <w:rPr>
          <w:b/>
          <w:bCs/>
          <w:sz w:val="23"/>
          <w:szCs w:val="23"/>
          <w:lang w:val="x-none"/>
        </w:rPr>
        <w:t>digitalizzazione</w:t>
      </w:r>
      <w:r w:rsidRPr="00D9023A">
        <w:rPr>
          <w:sz w:val="23"/>
          <w:szCs w:val="23"/>
          <w:lang w:val="x-none"/>
        </w:rPr>
        <w:t xml:space="preserve">, grazie a finanziamenti ad hoc e a una rete di partner specializzati che facilitano l’evoluzione delle relazioni e i processi aziendali; nuove iniziative per favorire l’utilizzo dei fondi del </w:t>
      </w:r>
      <w:r w:rsidRPr="00D9023A">
        <w:rPr>
          <w:b/>
          <w:bCs/>
          <w:sz w:val="23"/>
          <w:szCs w:val="23"/>
          <w:lang w:val="x-none"/>
        </w:rPr>
        <w:t>PNRR</w:t>
      </w:r>
      <w:r w:rsidRPr="00D9023A">
        <w:rPr>
          <w:sz w:val="23"/>
          <w:szCs w:val="23"/>
          <w:lang w:val="x-none"/>
        </w:rPr>
        <w:t>, tra cui Incent Now - la piattaforma web frutto della collaborazione con Deloitte</w:t>
      </w:r>
      <w:r w:rsidRPr="00D9023A">
        <w:rPr>
          <w:sz w:val="23"/>
          <w:szCs w:val="23"/>
        </w:rPr>
        <w:t xml:space="preserve"> </w:t>
      </w:r>
      <w:r w:rsidRPr="00D9023A">
        <w:rPr>
          <w:sz w:val="23"/>
          <w:szCs w:val="23"/>
          <w:lang w:val="x-none"/>
        </w:rPr>
        <w:t xml:space="preserve">che Intesa Sanpaolo mette gratuitamente a disposizione delle aziende per ottenere le informazioni relative alle misure e ai bandi resi pubblici da enti istituzionali nazionali ed europei nell’ambito della pianificazione del PNRR - e un’ampia gamma di soluzioni di finanziamento che integrano le agevolazioni pubbliche. </w:t>
      </w:r>
    </w:p>
    <w:p w14:paraId="1A0736F3" w14:textId="3C8C7B42" w:rsidR="00357549" w:rsidRPr="00D9023A" w:rsidRDefault="006F568F" w:rsidP="00357549">
      <w:pPr>
        <w:pStyle w:val="Paragrafoelenco"/>
        <w:spacing w:before="120" w:after="120"/>
        <w:ind w:left="0"/>
        <w:jc w:val="both"/>
        <w:rPr>
          <w:sz w:val="23"/>
          <w:szCs w:val="23"/>
          <w:lang w:val="x-none"/>
        </w:rPr>
      </w:pPr>
      <w:r w:rsidRPr="00D9023A">
        <w:rPr>
          <w:sz w:val="23"/>
          <w:szCs w:val="23"/>
        </w:rPr>
        <w:t xml:space="preserve">In questo quadro si inserisce il </w:t>
      </w:r>
      <w:r w:rsidRPr="00D9023A">
        <w:rPr>
          <w:b/>
          <w:bCs/>
          <w:i/>
          <w:iCs/>
          <w:sz w:val="23"/>
          <w:szCs w:val="23"/>
        </w:rPr>
        <w:t>Laboratorio ESG</w:t>
      </w:r>
      <w:r w:rsidRPr="00D9023A">
        <w:rPr>
          <w:b/>
          <w:bCs/>
          <w:sz w:val="23"/>
          <w:szCs w:val="23"/>
        </w:rPr>
        <w:t>,</w:t>
      </w:r>
      <w:r w:rsidRPr="00D9023A">
        <w:rPr>
          <w:sz w:val="23"/>
          <w:szCs w:val="23"/>
        </w:rPr>
        <w:t xml:space="preserve"> l’iniziativa di Intesa Sanpaolo avviata a Bergamo in collaborazione con le istituzioni locali e dedicata alle PMI del territorio che ambiscono a migliorare il proprio profilo di </w:t>
      </w:r>
      <w:r w:rsidR="00357549" w:rsidRPr="00D9023A">
        <w:rPr>
          <w:sz w:val="23"/>
          <w:szCs w:val="23"/>
        </w:rPr>
        <w:t xml:space="preserve">impatto in termini ambientali, di </w:t>
      </w:r>
      <w:r w:rsidR="00357549" w:rsidRPr="00D9023A">
        <w:rPr>
          <w:i/>
          <w:sz w:val="23"/>
          <w:szCs w:val="23"/>
        </w:rPr>
        <w:t>governance</w:t>
      </w:r>
      <w:r w:rsidR="00357549" w:rsidRPr="00D9023A">
        <w:rPr>
          <w:sz w:val="23"/>
          <w:szCs w:val="23"/>
        </w:rPr>
        <w:t xml:space="preserve"> e sociali</w:t>
      </w:r>
      <w:r w:rsidRPr="00D9023A">
        <w:rPr>
          <w:sz w:val="23"/>
          <w:szCs w:val="23"/>
        </w:rPr>
        <w:t xml:space="preserve"> </w:t>
      </w:r>
      <w:r w:rsidRPr="00D9023A">
        <w:rPr>
          <w:sz w:val="23"/>
          <w:szCs w:val="23"/>
          <w:lang w:val="x-none"/>
        </w:rPr>
        <w:t>e</w:t>
      </w:r>
      <w:r w:rsidRPr="00D9023A">
        <w:rPr>
          <w:sz w:val="23"/>
          <w:szCs w:val="23"/>
        </w:rPr>
        <w:t xml:space="preserve"> avviare</w:t>
      </w:r>
      <w:r w:rsidRPr="00D9023A">
        <w:rPr>
          <w:sz w:val="23"/>
          <w:szCs w:val="23"/>
          <w:lang w:val="x-none"/>
        </w:rPr>
        <w:t xml:space="preserve"> investimenti in progetti di economia sostenibile</w:t>
      </w:r>
      <w:r w:rsidRPr="00D9023A">
        <w:rPr>
          <w:sz w:val="23"/>
          <w:szCs w:val="23"/>
        </w:rPr>
        <w:t xml:space="preserve"> </w:t>
      </w:r>
      <w:r w:rsidRPr="00D9023A">
        <w:rPr>
          <w:sz w:val="23"/>
          <w:szCs w:val="23"/>
          <w:lang w:val="x-none"/>
        </w:rPr>
        <w:t>e circolare.</w:t>
      </w:r>
    </w:p>
    <w:p w14:paraId="74615D74" w14:textId="77777777" w:rsidR="00357549" w:rsidRPr="00D9023A" w:rsidRDefault="00357549" w:rsidP="00357549">
      <w:pPr>
        <w:pStyle w:val="Paragrafoelenco"/>
        <w:spacing w:before="120" w:after="120"/>
        <w:ind w:left="0"/>
        <w:jc w:val="both"/>
        <w:rPr>
          <w:sz w:val="23"/>
          <w:szCs w:val="23"/>
          <w:lang w:val="x-none"/>
        </w:rPr>
      </w:pPr>
    </w:p>
    <w:p w14:paraId="1D2A512F" w14:textId="454DFEEB" w:rsidR="00712033" w:rsidRPr="00D9023A" w:rsidRDefault="00712033" w:rsidP="00C62D5C">
      <w:pPr>
        <w:pStyle w:val="Paragrafoelenco"/>
        <w:spacing w:before="120" w:after="120"/>
        <w:ind w:left="0"/>
        <w:contextualSpacing w:val="0"/>
        <w:jc w:val="both"/>
        <w:rPr>
          <w:sz w:val="23"/>
          <w:szCs w:val="23"/>
          <w:lang w:val="x-none"/>
        </w:rPr>
      </w:pPr>
      <w:r w:rsidRPr="00D9023A">
        <w:rPr>
          <w:sz w:val="23"/>
          <w:szCs w:val="23"/>
          <w:lang w:val="x-none"/>
        </w:rPr>
        <w:t xml:space="preserve">Particolare attenzione è poi dedicata alle imprese che affrontano il rincaro dei </w:t>
      </w:r>
      <w:r w:rsidRPr="00D9023A">
        <w:rPr>
          <w:b/>
          <w:bCs/>
          <w:sz w:val="23"/>
          <w:szCs w:val="23"/>
          <w:lang w:val="x-none"/>
        </w:rPr>
        <w:t>costi delle materie prime e dell'energia</w:t>
      </w:r>
      <w:r w:rsidRPr="00D9023A">
        <w:rPr>
          <w:sz w:val="23"/>
          <w:szCs w:val="23"/>
          <w:lang w:val="x-none"/>
        </w:rPr>
        <w:t xml:space="preserve"> e gli </w:t>
      </w:r>
      <w:r w:rsidRPr="00D9023A">
        <w:rPr>
          <w:b/>
          <w:bCs/>
          <w:sz w:val="23"/>
          <w:szCs w:val="23"/>
          <w:lang w:val="x-none"/>
        </w:rPr>
        <w:t>investimenti volti a ridurre la dipendenza energetica</w:t>
      </w:r>
      <w:r w:rsidRPr="00D9023A">
        <w:rPr>
          <w:sz w:val="23"/>
          <w:szCs w:val="23"/>
        </w:rPr>
        <w:t>. Intesa Sanpaolo ha infatti lanciato il programma “</w:t>
      </w:r>
      <w:r w:rsidRPr="00D9023A">
        <w:rPr>
          <w:b/>
          <w:bCs/>
          <w:sz w:val="23"/>
          <w:szCs w:val="23"/>
        </w:rPr>
        <w:t>Motore Italia Transizione Energetica</w:t>
      </w:r>
      <w:r w:rsidRPr="00D9023A">
        <w:rPr>
          <w:sz w:val="23"/>
          <w:szCs w:val="23"/>
        </w:rPr>
        <w:t xml:space="preserve">” </w:t>
      </w:r>
      <w:r w:rsidRPr="00D9023A">
        <w:rPr>
          <w:sz w:val="23"/>
          <w:szCs w:val="23"/>
          <w:lang w:val="x-none"/>
        </w:rPr>
        <w:t xml:space="preserve">che </w:t>
      </w:r>
      <w:r w:rsidRPr="00D9023A">
        <w:rPr>
          <w:sz w:val="23"/>
          <w:szCs w:val="23"/>
        </w:rPr>
        <w:t xml:space="preserve">mette a disposizione </w:t>
      </w:r>
      <w:r w:rsidRPr="00D9023A">
        <w:rPr>
          <w:b/>
          <w:bCs/>
          <w:sz w:val="23"/>
          <w:szCs w:val="23"/>
        </w:rPr>
        <w:t>76 miliardi</w:t>
      </w:r>
      <w:r w:rsidRPr="00D9023A">
        <w:rPr>
          <w:sz w:val="23"/>
          <w:szCs w:val="23"/>
        </w:rPr>
        <w:t xml:space="preserve"> di euro a livello nazionale per </w:t>
      </w:r>
      <w:r w:rsidRPr="00D9023A">
        <w:rPr>
          <w:b/>
          <w:bCs/>
          <w:sz w:val="23"/>
          <w:szCs w:val="23"/>
        </w:rPr>
        <w:t xml:space="preserve">favorire e accelerare la transizione energetica e sostenibile, anche </w:t>
      </w:r>
      <w:r w:rsidRPr="00D9023A">
        <w:rPr>
          <w:b/>
          <w:bCs/>
          <w:sz w:val="23"/>
          <w:szCs w:val="23"/>
        </w:rPr>
        <w:lastRenderedPageBreak/>
        <w:t>attraverso iniziative che incentivano la creazione delle Comunità Energetiche Rinnovabili (CER)</w:t>
      </w:r>
      <w:r w:rsidRPr="00D9023A">
        <w:rPr>
          <w:sz w:val="23"/>
          <w:szCs w:val="23"/>
        </w:rPr>
        <w:t xml:space="preserve"> promuovendo sui territori la diffusione di modelli di produzione e condivisione dell’energia rinnovabile.</w:t>
      </w:r>
    </w:p>
    <w:p w14:paraId="4D0E6504" w14:textId="77777777" w:rsidR="004D2146" w:rsidRDefault="004D2146" w:rsidP="00C62D5C">
      <w:pPr>
        <w:shd w:val="clear" w:color="auto" w:fill="FFFFFF"/>
        <w:spacing w:before="120" w:after="120"/>
        <w:jc w:val="both"/>
        <w:rPr>
          <w:i/>
          <w:iCs/>
          <w:spacing w:val="-8"/>
          <w:sz w:val="23"/>
          <w:szCs w:val="23"/>
        </w:rPr>
      </w:pPr>
    </w:p>
    <w:p w14:paraId="3980C0BC" w14:textId="7590BF78" w:rsidR="00556483" w:rsidRPr="00D9023A" w:rsidRDefault="00556483" w:rsidP="00C62D5C">
      <w:pPr>
        <w:shd w:val="clear" w:color="auto" w:fill="FFFFFF"/>
        <w:spacing w:before="120" w:after="120"/>
        <w:jc w:val="both"/>
        <w:rPr>
          <w:i/>
          <w:iCs/>
          <w:spacing w:val="-8"/>
          <w:sz w:val="23"/>
          <w:szCs w:val="23"/>
        </w:rPr>
      </w:pPr>
      <w:r w:rsidRPr="00D9023A">
        <w:rPr>
          <w:i/>
          <w:iCs/>
          <w:spacing w:val="-8"/>
          <w:sz w:val="23"/>
          <w:szCs w:val="23"/>
        </w:rPr>
        <w:t xml:space="preserve">“Intesa Sanpaolo da anni è la principale banca partner del sistema nazionale di Confindustria. L'Accordo di oggi vuole sancire ancora più questa collaborazione – </w:t>
      </w:r>
      <w:r w:rsidRPr="00D9023A">
        <w:rPr>
          <w:spacing w:val="-8"/>
          <w:sz w:val="23"/>
          <w:szCs w:val="23"/>
        </w:rPr>
        <w:t xml:space="preserve">sottolinea </w:t>
      </w:r>
      <w:r w:rsidRPr="00D9023A">
        <w:rPr>
          <w:b/>
          <w:bCs/>
          <w:spacing w:val="-8"/>
          <w:sz w:val="23"/>
          <w:szCs w:val="23"/>
        </w:rPr>
        <w:t>Oscar Panseri</w:t>
      </w:r>
      <w:r w:rsidRPr="0086202B">
        <w:rPr>
          <w:spacing w:val="-8"/>
          <w:sz w:val="23"/>
          <w:szCs w:val="23"/>
        </w:rPr>
        <w:t>, Vice Presidente di Confindustria Bergamo con delega Credito e Finanza</w:t>
      </w:r>
      <w:r w:rsidRPr="00D9023A">
        <w:rPr>
          <w:b/>
          <w:bCs/>
          <w:i/>
          <w:iCs/>
          <w:spacing w:val="-8"/>
          <w:sz w:val="23"/>
          <w:szCs w:val="23"/>
        </w:rPr>
        <w:t xml:space="preserve"> </w:t>
      </w:r>
      <w:r w:rsidRPr="00D9023A">
        <w:rPr>
          <w:i/>
          <w:iCs/>
          <w:spacing w:val="-8"/>
          <w:sz w:val="23"/>
          <w:szCs w:val="23"/>
        </w:rPr>
        <w:t xml:space="preserve">– che ha come obiettivo quello di agevolare l’accesso al credito di tutte le PMI aderenti alla nostra associazione rafforzando l’attenzione per il </w:t>
      </w:r>
      <w:r w:rsidR="00A16262" w:rsidRPr="00D9023A">
        <w:rPr>
          <w:i/>
          <w:iCs/>
          <w:spacing w:val="-8"/>
          <w:sz w:val="23"/>
          <w:szCs w:val="23"/>
        </w:rPr>
        <w:t xml:space="preserve">nostro </w:t>
      </w:r>
      <w:r w:rsidRPr="00D9023A">
        <w:rPr>
          <w:i/>
          <w:iCs/>
          <w:spacing w:val="-8"/>
          <w:sz w:val="23"/>
          <w:szCs w:val="23"/>
        </w:rPr>
        <w:t>territorio. Nel contesto attuale le aziende</w:t>
      </w:r>
      <w:r w:rsidR="00A16262" w:rsidRPr="00D9023A">
        <w:rPr>
          <w:i/>
          <w:iCs/>
          <w:spacing w:val="-8"/>
          <w:sz w:val="23"/>
          <w:szCs w:val="23"/>
        </w:rPr>
        <w:t xml:space="preserve"> </w:t>
      </w:r>
      <w:r w:rsidR="001B6935" w:rsidRPr="00D9023A">
        <w:rPr>
          <w:i/>
          <w:iCs/>
          <w:spacing w:val="-8"/>
          <w:sz w:val="23"/>
          <w:szCs w:val="23"/>
        </w:rPr>
        <w:t>di Bergamo</w:t>
      </w:r>
      <w:r w:rsidRPr="00D9023A">
        <w:rPr>
          <w:i/>
          <w:iCs/>
          <w:spacing w:val="-8"/>
          <w:sz w:val="23"/>
          <w:szCs w:val="23"/>
        </w:rPr>
        <w:t>,</w:t>
      </w:r>
      <w:r w:rsidR="001B6935" w:rsidRPr="00D9023A">
        <w:rPr>
          <w:i/>
          <w:iCs/>
          <w:spacing w:val="-8"/>
          <w:sz w:val="23"/>
          <w:szCs w:val="23"/>
        </w:rPr>
        <w:t xml:space="preserve"> </w:t>
      </w:r>
      <w:r w:rsidRPr="00D9023A">
        <w:rPr>
          <w:i/>
          <w:iCs/>
          <w:spacing w:val="-8"/>
          <w:sz w:val="23"/>
          <w:szCs w:val="23"/>
        </w:rPr>
        <w:t>in particolare le piccole e medie imprese, stanno affrontando significative sfide dovute alla preoccupante onerosità del pricing del credito oltre all'aumento della selettività nella valutazione del merito creditizio. L’accordo in atto offre termini particolarmente favorevoli alle imprese, con un focus su investimenti in chiave ESG e Circular Economy, transizione energetica, digitalizzazione, oggi sempre più strategici. Al kilometro Rosso sono presenti sia la sede di Confindustria Bergamo sia uno sportello di Intesa Sanpaolo come primo ascolto per le nostre associate: l’auspicio è che, anche grazie alle più facili interazioni all’interno dell’Innovation District, si trovino e si esprimano al meglio tutte le competenze industriali e finanziarie per supportare la crescita del territorio”.</w:t>
      </w:r>
    </w:p>
    <w:p w14:paraId="4EFF5C40" w14:textId="7F9CD39F" w:rsidR="00C62D5C" w:rsidRPr="00C62D5C" w:rsidRDefault="00866E25" w:rsidP="00C62D5C">
      <w:pPr>
        <w:shd w:val="clear" w:color="auto" w:fill="FFFFFF"/>
        <w:spacing w:before="120" w:after="120"/>
        <w:jc w:val="both"/>
        <w:rPr>
          <w:bCs/>
          <w:i/>
          <w:iCs/>
          <w:sz w:val="23"/>
          <w:szCs w:val="23"/>
          <w:lang w:val="x-none"/>
        </w:rPr>
      </w:pPr>
      <w:bookmarkStart w:id="0" w:name="_Hlk511291113"/>
      <w:r>
        <w:rPr>
          <w:i/>
          <w:iCs/>
          <w:sz w:val="23"/>
          <w:szCs w:val="23"/>
        </w:rPr>
        <w:t>“</w:t>
      </w:r>
      <w:r>
        <w:rPr>
          <w:i/>
          <w:iCs/>
          <w:sz w:val="23"/>
          <w:szCs w:val="23"/>
          <w:lang w:val="x-none"/>
        </w:rPr>
        <w:t>Questo accordo rientra nel più ampio piano che la Banca dedica allo sviluppo dei territori in cui opera</w:t>
      </w:r>
      <w:r>
        <w:rPr>
          <w:b/>
          <w:bCs/>
          <w:i/>
          <w:iCs/>
          <w:sz w:val="23"/>
          <w:szCs w:val="23"/>
          <w:lang w:val="x-none"/>
        </w:rPr>
        <w:t xml:space="preserve"> </w:t>
      </w:r>
      <w:r>
        <w:rPr>
          <w:i/>
          <w:iCs/>
          <w:sz w:val="23"/>
          <w:szCs w:val="23"/>
        </w:rPr>
        <w:t>– ha spiegato</w:t>
      </w:r>
      <w:r>
        <w:rPr>
          <w:b/>
          <w:bCs/>
          <w:i/>
          <w:iCs/>
          <w:sz w:val="23"/>
          <w:szCs w:val="23"/>
        </w:rPr>
        <w:t xml:space="preserve"> Gianluigi Venturini</w:t>
      </w:r>
      <w:r>
        <w:rPr>
          <w:i/>
          <w:iCs/>
          <w:sz w:val="23"/>
          <w:szCs w:val="23"/>
        </w:rPr>
        <w:t xml:space="preserve">, direttore regionale Lombardia Nord Intesa Sanpaolo </w:t>
      </w:r>
      <w:r>
        <w:rPr>
          <w:i/>
          <w:iCs/>
          <w:sz w:val="23"/>
          <w:szCs w:val="23"/>
          <w:lang w:val="x-none"/>
        </w:rPr>
        <w:t xml:space="preserve">–. Stiamo sostenendo concretamente l’economia </w:t>
      </w:r>
      <w:r>
        <w:rPr>
          <w:i/>
          <w:iCs/>
          <w:sz w:val="23"/>
          <w:szCs w:val="23"/>
        </w:rPr>
        <w:t>bergamasca</w:t>
      </w:r>
      <w:r>
        <w:rPr>
          <w:i/>
          <w:iCs/>
          <w:sz w:val="23"/>
          <w:szCs w:val="23"/>
          <w:lang w:val="x-none"/>
        </w:rPr>
        <w:t xml:space="preserve">, accompagnando le </w:t>
      </w:r>
      <w:r>
        <w:rPr>
          <w:i/>
          <w:iCs/>
          <w:sz w:val="23"/>
          <w:szCs w:val="23"/>
        </w:rPr>
        <w:t>PMI</w:t>
      </w:r>
      <w:r>
        <w:rPr>
          <w:i/>
          <w:iCs/>
          <w:sz w:val="23"/>
          <w:szCs w:val="23"/>
          <w:lang w:val="x-none"/>
        </w:rPr>
        <w:t xml:space="preserve"> nei loro percorsi di crescita e di sviluppo sostenibile. </w:t>
      </w:r>
      <w:r>
        <w:rPr>
          <w:i/>
          <w:iCs/>
          <w:sz w:val="23"/>
          <w:szCs w:val="23"/>
        </w:rPr>
        <w:t>A</w:t>
      </w:r>
      <w:r w:rsidRPr="00866E25">
        <w:rPr>
          <w:i/>
          <w:iCs/>
          <w:sz w:val="23"/>
          <w:szCs w:val="23"/>
        </w:rPr>
        <w:t>l Kilometro Rosso abbiamo attivato uno sportello dedicato alle aziende per operare maggiormente in sinergia con Confindustria Bergamo e in stretta connessione con le diverse competenze dell’Innovation District nella convinzione che ricerca, innovazione e imprenditorialità sono fattori determinanti per la crescita del territorio.</w:t>
      </w:r>
      <w:r>
        <w:rPr>
          <w:i/>
          <w:iCs/>
          <w:sz w:val="23"/>
          <w:szCs w:val="23"/>
        </w:rPr>
        <w:t xml:space="preserve"> Sempre a Bergamo</w:t>
      </w:r>
      <w:r>
        <w:rPr>
          <w:i/>
          <w:iCs/>
          <w:sz w:val="23"/>
          <w:szCs w:val="23"/>
          <w:lang w:val="x-none"/>
        </w:rPr>
        <w:t xml:space="preserve"> è attivo il Laboratorio ESG, punto d’incontro fisico e virtuale con cui vogliamo stimolare la consapevolezza delle aziende sulla transizione ambientale, sociale, digitale  e di governance. </w:t>
      </w:r>
      <w:r>
        <w:rPr>
          <w:i/>
          <w:iCs/>
          <w:sz w:val="23"/>
          <w:szCs w:val="23"/>
        </w:rPr>
        <w:t>A</w:t>
      </w:r>
      <w:r>
        <w:rPr>
          <w:i/>
          <w:iCs/>
          <w:sz w:val="23"/>
          <w:szCs w:val="23"/>
          <w:lang w:val="x-none"/>
        </w:rPr>
        <w:t>bbiamo erogato</w:t>
      </w:r>
      <w:r>
        <w:rPr>
          <w:i/>
          <w:iCs/>
          <w:sz w:val="23"/>
          <w:szCs w:val="23"/>
        </w:rPr>
        <w:t xml:space="preserve"> ad oggi </w:t>
      </w:r>
      <w:r>
        <w:rPr>
          <w:i/>
          <w:iCs/>
          <w:sz w:val="23"/>
          <w:szCs w:val="23"/>
          <w:lang w:val="x-none"/>
        </w:rPr>
        <w:t xml:space="preserve">in Lombardia </w:t>
      </w:r>
      <w:r>
        <w:rPr>
          <w:i/>
          <w:iCs/>
          <w:sz w:val="23"/>
          <w:szCs w:val="23"/>
        </w:rPr>
        <w:t>1,8 miliardi</w:t>
      </w:r>
      <w:r>
        <w:rPr>
          <w:i/>
          <w:iCs/>
          <w:sz w:val="23"/>
          <w:szCs w:val="23"/>
          <w:lang w:val="x-none"/>
        </w:rPr>
        <w:t xml:space="preserve"> di euro </w:t>
      </w:r>
      <w:r>
        <w:rPr>
          <w:i/>
          <w:iCs/>
          <w:sz w:val="23"/>
          <w:szCs w:val="23"/>
        </w:rPr>
        <w:t>in favore di imprese</w:t>
      </w:r>
      <w:r>
        <w:rPr>
          <w:i/>
          <w:iCs/>
          <w:sz w:val="23"/>
          <w:szCs w:val="23"/>
          <w:lang w:val="x-none"/>
        </w:rPr>
        <w:t xml:space="preserve"> che sempre più si orientano verso </w:t>
      </w:r>
      <w:r>
        <w:rPr>
          <w:i/>
          <w:iCs/>
          <w:sz w:val="23"/>
          <w:szCs w:val="23"/>
        </w:rPr>
        <w:t>la transizione sostenibile, digitale ed energetica e, grazi</w:t>
      </w:r>
      <w:r>
        <w:rPr>
          <w:i/>
          <w:iCs/>
          <w:sz w:val="23"/>
          <w:szCs w:val="23"/>
          <w:lang w:val="x-none"/>
        </w:rPr>
        <w:t>e alla piattaforma Incent Now, abbiamo accompagnato</w:t>
      </w:r>
      <w:r>
        <w:rPr>
          <w:i/>
          <w:iCs/>
          <w:sz w:val="23"/>
          <w:szCs w:val="23"/>
        </w:rPr>
        <w:t xml:space="preserve"> 800 </w:t>
      </w:r>
      <w:r>
        <w:rPr>
          <w:i/>
          <w:iCs/>
          <w:sz w:val="23"/>
          <w:szCs w:val="23"/>
          <w:lang w:val="x-none"/>
        </w:rPr>
        <w:t>imprese</w:t>
      </w:r>
      <w:r>
        <w:rPr>
          <w:i/>
          <w:iCs/>
          <w:sz w:val="23"/>
          <w:szCs w:val="23"/>
        </w:rPr>
        <w:t xml:space="preserve"> lombarde</w:t>
      </w:r>
      <w:r>
        <w:rPr>
          <w:i/>
          <w:iCs/>
          <w:sz w:val="23"/>
          <w:szCs w:val="23"/>
          <w:lang w:val="x-none"/>
        </w:rPr>
        <w:t xml:space="preserve"> ad aggiudicarsi i bandi del PNRR. Non ultima, l’attenzione marcata alla tenuta delle filiere, cruciali per preservare la catena del valore e facilitare l’accesso al credito anche delle realtà minori: con il programma Sviluppo Filiere acceleriamo la crescita dei sistemi produttivi locali, solo in </w:t>
      </w:r>
      <w:r>
        <w:rPr>
          <w:i/>
          <w:iCs/>
          <w:sz w:val="23"/>
          <w:szCs w:val="23"/>
        </w:rPr>
        <w:t>Lombardia</w:t>
      </w:r>
      <w:r>
        <w:rPr>
          <w:i/>
          <w:iCs/>
          <w:sz w:val="23"/>
          <w:szCs w:val="23"/>
          <w:lang w:val="x-none"/>
        </w:rPr>
        <w:t xml:space="preserve"> abbiamo siglato </w:t>
      </w:r>
      <w:r>
        <w:rPr>
          <w:i/>
          <w:iCs/>
          <w:sz w:val="23"/>
          <w:szCs w:val="23"/>
        </w:rPr>
        <w:t>oltre 200</w:t>
      </w:r>
      <w:r>
        <w:rPr>
          <w:i/>
          <w:iCs/>
          <w:sz w:val="23"/>
          <w:szCs w:val="23"/>
          <w:lang w:val="x-none"/>
        </w:rPr>
        <w:t xml:space="preserve"> contratti di filiera, che coinvolgono </w:t>
      </w:r>
      <w:r>
        <w:rPr>
          <w:i/>
          <w:iCs/>
          <w:sz w:val="23"/>
          <w:szCs w:val="23"/>
        </w:rPr>
        <w:t>4.200</w:t>
      </w:r>
      <w:r>
        <w:rPr>
          <w:i/>
          <w:iCs/>
          <w:sz w:val="23"/>
          <w:szCs w:val="23"/>
          <w:lang w:val="x-none"/>
        </w:rPr>
        <w:t xml:space="preserve"> fornitori per un giro d’affari di </w:t>
      </w:r>
      <w:r>
        <w:rPr>
          <w:i/>
          <w:iCs/>
          <w:sz w:val="23"/>
          <w:szCs w:val="23"/>
        </w:rPr>
        <w:t>oltre 24</w:t>
      </w:r>
      <w:r>
        <w:rPr>
          <w:i/>
          <w:iCs/>
          <w:sz w:val="23"/>
          <w:szCs w:val="23"/>
          <w:lang w:val="x-none"/>
        </w:rPr>
        <w:t xml:space="preserve"> miliardi di euro</w:t>
      </w:r>
      <w:r>
        <w:rPr>
          <w:i/>
          <w:iCs/>
          <w:sz w:val="23"/>
          <w:szCs w:val="23"/>
        </w:rPr>
        <w:t>”.</w:t>
      </w:r>
    </w:p>
    <w:p w14:paraId="5FEF0DA5" w14:textId="77777777" w:rsidR="00213D9E" w:rsidRDefault="00213D9E" w:rsidP="001D0E50">
      <w:pPr>
        <w:shd w:val="clear" w:color="auto" w:fill="FFFFFF"/>
        <w:spacing w:before="120" w:after="120"/>
        <w:jc w:val="both"/>
        <w:rPr>
          <w:rFonts w:ascii="Arial" w:hAnsi="Arial"/>
          <w:i/>
          <w:iCs/>
          <w:sz w:val="18"/>
          <w:szCs w:val="18"/>
          <w:lang w:val="x-none"/>
        </w:rPr>
      </w:pPr>
    </w:p>
    <w:p w14:paraId="03F3145A" w14:textId="77777777" w:rsidR="004D2146" w:rsidRDefault="004D2146" w:rsidP="001D0E50">
      <w:pPr>
        <w:shd w:val="clear" w:color="auto" w:fill="FFFFFF"/>
        <w:spacing w:before="120" w:after="120"/>
        <w:jc w:val="both"/>
        <w:rPr>
          <w:rFonts w:ascii="Arial" w:hAnsi="Arial"/>
          <w:i/>
          <w:iCs/>
          <w:sz w:val="18"/>
          <w:szCs w:val="18"/>
          <w:lang w:val="x-none"/>
        </w:rPr>
      </w:pPr>
    </w:p>
    <w:p w14:paraId="51F3D20D" w14:textId="77777777" w:rsidR="004D2146" w:rsidRDefault="004D2146" w:rsidP="001D0E50">
      <w:pPr>
        <w:shd w:val="clear" w:color="auto" w:fill="FFFFFF"/>
        <w:spacing w:before="120" w:after="120"/>
        <w:jc w:val="both"/>
        <w:rPr>
          <w:rFonts w:ascii="Arial" w:hAnsi="Arial"/>
          <w:i/>
          <w:iCs/>
          <w:sz w:val="18"/>
          <w:szCs w:val="18"/>
          <w:lang w:val="x-none"/>
        </w:rPr>
      </w:pPr>
    </w:p>
    <w:p w14:paraId="2DF33991" w14:textId="77777777" w:rsidR="004D2146" w:rsidRDefault="004D2146" w:rsidP="001D0E50">
      <w:pPr>
        <w:shd w:val="clear" w:color="auto" w:fill="FFFFFF"/>
        <w:spacing w:before="120" w:after="120"/>
        <w:jc w:val="both"/>
        <w:rPr>
          <w:rFonts w:ascii="Arial" w:hAnsi="Arial"/>
          <w:i/>
          <w:iCs/>
          <w:sz w:val="18"/>
          <w:szCs w:val="18"/>
          <w:lang w:val="x-none"/>
        </w:rPr>
      </w:pPr>
    </w:p>
    <w:p w14:paraId="434AEEEC" w14:textId="77777777" w:rsidR="004D2146" w:rsidRDefault="004D2146" w:rsidP="001D0E50">
      <w:pPr>
        <w:shd w:val="clear" w:color="auto" w:fill="FFFFFF"/>
        <w:spacing w:before="120" w:after="120"/>
        <w:jc w:val="both"/>
        <w:rPr>
          <w:rFonts w:ascii="Arial" w:hAnsi="Arial"/>
          <w:i/>
          <w:iCs/>
          <w:sz w:val="18"/>
          <w:szCs w:val="18"/>
          <w:lang w:val="x-none"/>
        </w:rPr>
      </w:pPr>
    </w:p>
    <w:p w14:paraId="5A9E51A1" w14:textId="77777777" w:rsidR="004D2146" w:rsidRDefault="004D2146" w:rsidP="001D0E50">
      <w:pPr>
        <w:shd w:val="clear" w:color="auto" w:fill="FFFFFF"/>
        <w:spacing w:before="120" w:after="120"/>
        <w:jc w:val="both"/>
        <w:rPr>
          <w:rFonts w:ascii="Arial" w:hAnsi="Arial"/>
          <w:i/>
          <w:iCs/>
          <w:sz w:val="18"/>
          <w:szCs w:val="18"/>
          <w:lang w:val="x-none"/>
        </w:rPr>
      </w:pPr>
    </w:p>
    <w:p w14:paraId="6CE405FE" w14:textId="77777777" w:rsidR="004D2146" w:rsidRDefault="004D2146" w:rsidP="001D0E50">
      <w:pPr>
        <w:shd w:val="clear" w:color="auto" w:fill="FFFFFF"/>
        <w:spacing w:before="120" w:after="120"/>
        <w:jc w:val="both"/>
        <w:rPr>
          <w:rFonts w:ascii="Arial" w:hAnsi="Arial"/>
          <w:i/>
          <w:iCs/>
          <w:sz w:val="18"/>
          <w:szCs w:val="18"/>
          <w:lang w:val="x-none"/>
        </w:rPr>
      </w:pPr>
    </w:p>
    <w:p w14:paraId="22F2D500" w14:textId="77777777" w:rsidR="004D2146" w:rsidRDefault="004D2146" w:rsidP="001D0E50">
      <w:pPr>
        <w:shd w:val="clear" w:color="auto" w:fill="FFFFFF"/>
        <w:spacing w:before="120" w:after="120"/>
        <w:jc w:val="both"/>
        <w:rPr>
          <w:rFonts w:ascii="Arial" w:hAnsi="Arial"/>
          <w:i/>
          <w:iCs/>
          <w:sz w:val="18"/>
          <w:szCs w:val="18"/>
          <w:lang w:val="x-none"/>
        </w:rPr>
      </w:pPr>
    </w:p>
    <w:p w14:paraId="76D0771E" w14:textId="77777777" w:rsidR="004D2146" w:rsidRDefault="004D2146" w:rsidP="001D0E50">
      <w:pPr>
        <w:shd w:val="clear" w:color="auto" w:fill="FFFFFF"/>
        <w:spacing w:before="120" w:after="120"/>
        <w:jc w:val="both"/>
        <w:rPr>
          <w:rFonts w:ascii="Arial" w:hAnsi="Arial"/>
          <w:i/>
          <w:iCs/>
          <w:sz w:val="18"/>
          <w:szCs w:val="18"/>
          <w:lang w:val="x-none"/>
        </w:rPr>
      </w:pPr>
    </w:p>
    <w:p w14:paraId="03724D56" w14:textId="77777777" w:rsidR="004D2146" w:rsidRDefault="004D2146" w:rsidP="001D0E50">
      <w:pPr>
        <w:shd w:val="clear" w:color="auto" w:fill="FFFFFF"/>
        <w:spacing w:before="120" w:after="120"/>
        <w:jc w:val="both"/>
        <w:rPr>
          <w:rFonts w:ascii="Arial" w:hAnsi="Arial"/>
          <w:i/>
          <w:iCs/>
          <w:sz w:val="18"/>
          <w:szCs w:val="18"/>
          <w:lang w:val="x-none"/>
        </w:rPr>
      </w:pPr>
    </w:p>
    <w:p w14:paraId="480D9183" w14:textId="77777777" w:rsidR="004D2146" w:rsidRDefault="004D2146" w:rsidP="001D0E50">
      <w:pPr>
        <w:shd w:val="clear" w:color="auto" w:fill="FFFFFF"/>
        <w:spacing w:before="120" w:after="120"/>
        <w:jc w:val="both"/>
        <w:rPr>
          <w:rFonts w:ascii="Arial" w:hAnsi="Arial"/>
          <w:i/>
          <w:iCs/>
          <w:sz w:val="18"/>
          <w:szCs w:val="18"/>
          <w:lang w:val="x-none"/>
        </w:rPr>
      </w:pPr>
    </w:p>
    <w:p w14:paraId="0B75D171" w14:textId="77777777" w:rsidR="004D2146" w:rsidRDefault="004D2146" w:rsidP="001D0E50">
      <w:pPr>
        <w:shd w:val="clear" w:color="auto" w:fill="FFFFFF"/>
        <w:spacing w:before="120" w:after="120"/>
        <w:jc w:val="both"/>
        <w:rPr>
          <w:rFonts w:ascii="Arial" w:hAnsi="Arial"/>
          <w:i/>
          <w:iCs/>
          <w:sz w:val="18"/>
          <w:szCs w:val="18"/>
          <w:lang w:val="x-none"/>
        </w:rPr>
      </w:pPr>
    </w:p>
    <w:p w14:paraId="453A9A27" w14:textId="77777777" w:rsidR="004D2146" w:rsidRDefault="004D2146" w:rsidP="001D0E50">
      <w:pPr>
        <w:shd w:val="clear" w:color="auto" w:fill="FFFFFF"/>
        <w:spacing w:before="120" w:after="120"/>
        <w:jc w:val="both"/>
        <w:rPr>
          <w:rFonts w:ascii="Arial" w:hAnsi="Arial"/>
          <w:i/>
          <w:iCs/>
          <w:sz w:val="18"/>
          <w:szCs w:val="18"/>
          <w:lang w:val="x-none"/>
        </w:rPr>
      </w:pPr>
    </w:p>
    <w:p w14:paraId="3E17F9F5" w14:textId="77777777" w:rsidR="004D2146" w:rsidRDefault="004D2146" w:rsidP="001D0E50">
      <w:pPr>
        <w:shd w:val="clear" w:color="auto" w:fill="FFFFFF"/>
        <w:spacing w:before="120" w:after="120"/>
        <w:jc w:val="both"/>
        <w:rPr>
          <w:rFonts w:ascii="Arial" w:hAnsi="Arial"/>
          <w:i/>
          <w:iCs/>
          <w:sz w:val="18"/>
          <w:szCs w:val="18"/>
          <w:lang w:val="x-none"/>
        </w:rPr>
      </w:pPr>
    </w:p>
    <w:p w14:paraId="106A15D6" w14:textId="77777777" w:rsidR="004D2146" w:rsidRPr="001D0E50" w:rsidRDefault="004D2146" w:rsidP="001D0E50">
      <w:pPr>
        <w:shd w:val="clear" w:color="auto" w:fill="FFFFFF"/>
        <w:spacing w:before="120" w:after="120"/>
        <w:jc w:val="both"/>
        <w:rPr>
          <w:rFonts w:ascii="Arial" w:hAnsi="Arial"/>
          <w:i/>
          <w:iCs/>
          <w:sz w:val="18"/>
          <w:szCs w:val="18"/>
          <w:lang w:val="x-none"/>
        </w:rPr>
      </w:pPr>
    </w:p>
    <w:p w14:paraId="70EB6C06" w14:textId="77777777" w:rsidR="00213D9E" w:rsidRDefault="00213D9E" w:rsidP="006F568F">
      <w:pPr>
        <w:shd w:val="clear" w:color="auto" w:fill="FFFFFF"/>
        <w:spacing w:before="120" w:after="120"/>
        <w:rPr>
          <w:rFonts w:ascii="Arial" w:hAnsi="Arial"/>
          <w:i/>
          <w:iCs/>
          <w:sz w:val="18"/>
          <w:szCs w:val="18"/>
        </w:rPr>
      </w:pPr>
    </w:p>
    <w:p w14:paraId="7397B0BD" w14:textId="77777777" w:rsidR="00BB26CC" w:rsidRDefault="00F97000">
      <w:pPr>
        <w:shd w:val="clear" w:color="auto" w:fill="FFFFFF"/>
        <w:spacing w:before="100" w:after="100"/>
        <w:rPr>
          <w:rFonts w:ascii="Arial" w:hAnsi="Arial"/>
          <w:i/>
          <w:iCs/>
          <w:sz w:val="18"/>
          <w:szCs w:val="18"/>
        </w:rPr>
      </w:pPr>
      <w:r>
        <w:rPr>
          <w:rFonts w:ascii="Arial" w:hAnsi="Arial"/>
          <w:i/>
          <w:iCs/>
          <w:sz w:val="18"/>
          <w:szCs w:val="18"/>
        </w:rPr>
        <w:lastRenderedPageBreak/>
        <w:t>Informazioni per la stampa</w:t>
      </w:r>
    </w:p>
    <w:p w14:paraId="66B31F81" w14:textId="63796E0D" w:rsidR="007D6021" w:rsidRDefault="007D6021">
      <w:pPr>
        <w:jc w:val="both"/>
        <w:rPr>
          <w:rFonts w:ascii="Arial" w:hAnsi="Arial"/>
          <w:b/>
          <w:bCs/>
          <w:sz w:val="18"/>
          <w:szCs w:val="18"/>
        </w:rPr>
      </w:pPr>
      <w:r w:rsidRPr="00647765">
        <w:rPr>
          <w:rFonts w:ascii="Arial" w:hAnsi="Arial"/>
          <w:b/>
          <w:bCs/>
          <w:sz w:val="18"/>
          <w:szCs w:val="18"/>
        </w:rPr>
        <w:t>Confindustria Bergamo</w:t>
      </w:r>
    </w:p>
    <w:p w14:paraId="2B93595C" w14:textId="77777777" w:rsidR="003E2E2B" w:rsidRPr="003E2E2B" w:rsidRDefault="007846D2">
      <w:pPr>
        <w:jc w:val="both"/>
        <w:rPr>
          <w:rFonts w:ascii="Arial" w:hAnsi="Arial"/>
          <w:sz w:val="18"/>
          <w:szCs w:val="18"/>
        </w:rPr>
      </w:pPr>
      <w:r w:rsidRPr="003E2E2B">
        <w:rPr>
          <w:rFonts w:ascii="Arial" w:hAnsi="Arial"/>
          <w:sz w:val="18"/>
          <w:szCs w:val="18"/>
        </w:rPr>
        <w:t>Media Relations</w:t>
      </w:r>
    </w:p>
    <w:p w14:paraId="307DDCBC" w14:textId="37C09507" w:rsidR="007846D2" w:rsidRPr="003E2E2B" w:rsidRDefault="003E2E2B">
      <w:pPr>
        <w:jc w:val="both"/>
        <w:rPr>
          <w:rFonts w:ascii="Arial" w:hAnsi="Arial"/>
          <w:sz w:val="18"/>
          <w:szCs w:val="18"/>
        </w:rPr>
      </w:pPr>
      <w:r w:rsidRPr="003E2E2B">
        <w:rPr>
          <w:rFonts w:ascii="Arial" w:hAnsi="Arial"/>
          <w:sz w:val="18"/>
          <w:szCs w:val="18"/>
        </w:rPr>
        <w:t>comunicazoione@confindustriabergamo.it</w:t>
      </w:r>
      <w:r w:rsidR="007846D2" w:rsidRPr="003E2E2B">
        <w:rPr>
          <w:rFonts w:ascii="Arial" w:hAnsi="Arial"/>
          <w:sz w:val="18"/>
          <w:szCs w:val="18"/>
        </w:rPr>
        <w:t xml:space="preserve"> </w:t>
      </w:r>
    </w:p>
    <w:p w14:paraId="5BD34BD4" w14:textId="77777777" w:rsidR="00C47C9E" w:rsidRDefault="00C47C9E">
      <w:pPr>
        <w:jc w:val="both"/>
        <w:rPr>
          <w:rFonts w:ascii="Arial" w:hAnsi="Arial"/>
          <w:b/>
          <w:bCs/>
          <w:sz w:val="18"/>
          <w:szCs w:val="18"/>
        </w:rPr>
      </w:pPr>
    </w:p>
    <w:p w14:paraId="1FBE612D" w14:textId="00CC9513" w:rsidR="00BB26CC" w:rsidRDefault="00F97000">
      <w:pPr>
        <w:jc w:val="both"/>
        <w:rPr>
          <w:rFonts w:ascii="Arial" w:eastAsia="Arial" w:hAnsi="Arial" w:cs="Arial"/>
          <w:b/>
          <w:bCs/>
          <w:sz w:val="18"/>
          <w:szCs w:val="18"/>
        </w:rPr>
      </w:pPr>
      <w:r>
        <w:rPr>
          <w:rFonts w:ascii="Arial" w:hAnsi="Arial"/>
          <w:b/>
          <w:bCs/>
          <w:sz w:val="18"/>
          <w:szCs w:val="18"/>
        </w:rPr>
        <w:t>Intesa Sanpaolo</w:t>
      </w:r>
    </w:p>
    <w:p w14:paraId="65A2CF31" w14:textId="77777777" w:rsidR="00BB26CC" w:rsidRDefault="00F97000">
      <w:pPr>
        <w:jc w:val="both"/>
        <w:rPr>
          <w:rFonts w:ascii="Arial" w:eastAsia="Arial" w:hAnsi="Arial" w:cs="Arial"/>
          <w:sz w:val="18"/>
          <w:szCs w:val="18"/>
        </w:rPr>
      </w:pPr>
      <w:r>
        <w:rPr>
          <w:rFonts w:ascii="Arial" w:hAnsi="Arial"/>
          <w:sz w:val="18"/>
          <w:szCs w:val="18"/>
        </w:rPr>
        <w:t>Media Relations Banca dei Territori e Media locali</w:t>
      </w:r>
    </w:p>
    <w:p w14:paraId="31F36E75" w14:textId="77777777" w:rsidR="00BB26CC" w:rsidRDefault="00790D00">
      <w:pPr>
        <w:jc w:val="both"/>
        <w:rPr>
          <w:rStyle w:val="Hyperlink0"/>
        </w:rPr>
      </w:pPr>
      <w:hyperlink r:id="rId8" w:history="1">
        <w:r w:rsidR="00F97000">
          <w:rPr>
            <w:rStyle w:val="Hyperlink0"/>
          </w:rPr>
          <w:t>stampa@intesasanpaolo.com</w:t>
        </w:r>
        <w:bookmarkEnd w:id="0"/>
      </w:hyperlink>
    </w:p>
    <w:p w14:paraId="62E1484E" w14:textId="77777777" w:rsidR="00BB26CC" w:rsidRDefault="00790D00">
      <w:pPr>
        <w:jc w:val="both"/>
        <w:rPr>
          <w:rStyle w:val="Hyperlink0"/>
        </w:rPr>
      </w:pPr>
      <w:hyperlink r:id="rId9" w:history="1">
        <w:r w:rsidR="00F97000">
          <w:rPr>
            <w:rStyle w:val="Hyperlink0"/>
          </w:rPr>
          <w:t>https://group.intesasanpaolo.com/it/sala-stampa/news</w:t>
        </w:r>
      </w:hyperlink>
    </w:p>
    <w:p w14:paraId="779FD550" w14:textId="77777777" w:rsidR="00891EF7" w:rsidRDefault="00891EF7">
      <w:pPr>
        <w:jc w:val="both"/>
        <w:rPr>
          <w:rStyle w:val="Hyperlink0"/>
        </w:rPr>
      </w:pPr>
    </w:p>
    <w:p w14:paraId="49C75D5E" w14:textId="77777777" w:rsidR="00E44663" w:rsidRPr="00647765" w:rsidRDefault="00E44663">
      <w:pPr>
        <w:jc w:val="both"/>
        <w:rPr>
          <w:rStyle w:val="Nessuno"/>
          <w:rFonts w:ascii="Arial" w:eastAsia="Arial" w:hAnsi="Arial" w:cs="Arial"/>
          <w:color w:val="auto"/>
          <w:sz w:val="18"/>
          <w:szCs w:val="18"/>
          <w:u w:val="single" w:color="0000FF"/>
        </w:rPr>
      </w:pPr>
    </w:p>
    <w:p w14:paraId="5F101763" w14:textId="522D6E55" w:rsidR="00D31AE4" w:rsidRPr="00D31AE4" w:rsidRDefault="007D6021" w:rsidP="004B5BF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eastAsia="Arial Unicode MS"/>
          <w:color w:val="auto"/>
          <w:sz w:val="20"/>
          <w:szCs w:val="20"/>
        </w:rPr>
      </w:pPr>
      <w:r w:rsidRPr="00647765">
        <w:rPr>
          <w:b/>
          <w:bCs/>
          <w:color w:val="auto"/>
          <w:sz w:val="20"/>
          <w:szCs w:val="20"/>
        </w:rPr>
        <w:t xml:space="preserve">Confindustria </w:t>
      </w:r>
      <w:r w:rsidRPr="00D31AE4">
        <w:rPr>
          <w:b/>
          <w:bCs/>
          <w:color w:val="auto"/>
          <w:sz w:val="20"/>
          <w:szCs w:val="20"/>
        </w:rPr>
        <w:t>Bergamo</w:t>
      </w:r>
      <w:r w:rsidR="00647765" w:rsidRPr="00D31AE4">
        <w:rPr>
          <w:b/>
          <w:bCs/>
          <w:color w:val="auto"/>
          <w:sz w:val="20"/>
          <w:szCs w:val="20"/>
        </w:rPr>
        <w:t xml:space="preserve"> </w:t>
      </w:r>
      <w:r w:rsidR="00D31AE4" w:rsidRPr="00D31AE4">
        <w:rPr>
          <w:rFonts w:eastAsia="Arial Unicode MS"/>
          <w:color w:val="auto"/>
          <w:sz w:val="20"/>
          <w:szCs w:val="20"/>
        </w:rPr>
        <w:t>è una libera Associazione di imprese che opera senza fine di lucro e</w:t>
      </w:r>
    </w:p>
    <w:p w14:paraId="13944869" w14:textId="139D193C" w:rsidR="00D31AE4" w:rsidRPr="00D31AE4" w:rsidRDefault="00D31AE4" w:rsidP="004B5BF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eastAsia="Arial Unicode MS"/>
          <w:color w:val="auto"/>
          <w:sz w:val="20"/>
          <w:szCs w:val="20"/>
        </w:rPr>
      </w:pPr>
      <w:r w:rsidRPr="00D31AE4">
        <w:rPr>
          <w:rFonts w:eastAsia="Arial Unicode MS"/>
          <w:color w:val="auto"/>
          <w:sz w:val="20"/>
          <w:szCs w:val="20"/>
        </w:rPr>
        <w:t>svolge un ruolo di rappresentanza delle imprese industriali e del terziario di Bergamo e Provincia,</w:t>
      </w:r>
      <w:r>
        <w:rPr>
          <w:rFonts w:eastAsia="Arial Unicode MS"/>
          <w:color w:val="auto"/>
          <w:sz w:val="20"/>
          <w:szCs w:val="20"/>
        </w:rPr>
        <w:t xml:space="preserve"> </w:t>
      </w:r>
      <w:r w:rsidRPr="00D31AE4">
        <w:rPr>
          <w:rFonts w:eastAsia="Arial Unicode MS"/>
          <w:color w:val="auto"/>
          <w:sz w:val="20"/>
          <w:szCs w:val="20"/>
        </w:rPr>
        <w:t>Sono tre le anime che la</w:t>
      </w:r>
      <w:r>
        <w:rPr>
          <w:rFonts w:eastAsia="Arial Unicode MS"/>
          <w:color w:val="auto"/>
          <w:sz w:val="20"/>
          <w:szCs w:val="20"/>
        </w:rPr>
        <w:t xml:space="preserve"> </w:t>
      </w:r>
      <w:r w:rsidRPr="00D31AE4">
        <w:rPr>
          <w:rFonts w:eastAsia="Arial Unicode MS"/>
          <w:color w:val="auto"/>
          <w:sz w:val="20"/>
          <w:szCs w:val="20"/>
        </w:rPr>
        <w:t>contraddistinguono: Identità, Rappresentanza e Servizi. L’Associazione promuove, infatti, lo</w:t>
      </w:r>
      <w:r>
        <w:rPr>
          <w:rFonts w:eastAsia="Arial Unicode MS"/>
          <w:color w:val="auto"/>
          <w:sz w:val="20"/>
          <w:szCs w:val="20"/>
        </w:rPr>
        <w:t xml:space="preserve"> </w:t>
      </w:r>
      <w:r w:rsidRPr="00D31AE4">
        <w:rPr>
          <w:rFonts w:eastAsia="Arial Unicode MS"/>
          <w:color w:val="auto"/>
          <w:sz w:val="20"/>
          <w:szCs w:val="20"/>
        </w:rPr>
        <w:t>sviluppo economico garantendo la centralità dell’impresa, rappresentando le aziende associate</w:t>
      </w:r>
      <w:r>
        <w:rPr>
          <w:rFonts w:eastAsia="Arial Unicode MS"/>
          <w:color w:val="auto"/>
          <w:sz w:val="20"/>
          <w:szCs w:val="20"/>
        </w:rPr>
        <w:t xml:space="preserve"> </w:t>
      </w:r>
      <w:r w:rsidRPr="00D31AE4">
        <w:rPr>
          <w:rFonts w:eastAsia="Arial Unicode MS"/>
          <w:color w:val="auto"/>
          <w:sz w:val="20"/>
          <w:szCs w:val="20"/>
        </w:rPr>
        <w:t xml:space="preserve">e i loro valori davanti alle istituzioni, </w:t>
      </w:r>
      <w:r>
        <w:rPr>
          <w:rFonts w:eastAsia="Arial Unicode MS"/>
          <w:color w:val="auto"/>
          <w:sz w:val="20"/>
          <w:szCs w:val="20"/>
        </w:rPr>
        <w:t>c</w:t>
      </w:r>
      <w:r w:rsidRPr="00D31AE4">
        <w:rPr>
          <w:rFonts w:eastAsia="Arial Unicode MS"/>
          <w:color w:val="auto"/>
          <w:sz w:val="20"/>
          <w:szCs w:val="20"/>
        </w:rPr>
        <w:t>ollaborando con tutti gli attori presenti sul territorio e</w:t>
      </w:r>
      <w:r>
        <w:rPr>
          <w:rFonts w:eastAsia="Arial Unicode MS"/>
          <w:color w:val="auto"/>
          <w:sz w:val="20"/>
          <w:szCs w:val="20"/>
        </w:rPr>
        <w:t xml:space="preserve"> </w:t>
      </w:r>
      <w:r w:rsidRPr="00D31AE4">
        <w:rPr>
          <w:rFonts w:eastAsia="Arial Unicode MS"/>
          <w:color w:val="auto"/>
          <w:sz w:val="20"/>
          <w:szCs w:val="20"/>
        </w:rPr>
        <w:t>fornendo servizi sempre più diversificati agli Associati.</w:t>
      </w:r>
    </w:p>
    <w:p w14:paraId="0055AA02" w14:textId="76D056DD" w:rsidR="005E6E0A" w:rsidRPr="00D31AE4" w:rsidRDefault="00D31AE4" w:rsidP="004B5BF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b/>
          <w:bCs/>
          <w:color w:val="auto"/>
          <w:sz w:val="20"/>
          <w:szCs w:val="20"/>
        </w:rPr>
      </w:pPr>
      <w:r w:rsidRPr="00D31AE4">
        <w:rPr>
          <w:rFonts w:eastAsia="Arial Unicode MS"/>
          <w:color w:val="auto"/>
          <w:sz w:val="20"/>
          <w:szCs w:val="20"/>
        </w:rPr>
        <w:t>Confindustria Bergamo opera in un territorio a vocazione industriale che tende al manifatturiero</w:t>
      </w:r>
      <w:r>
        <w:rPr>
          <w:rFonts w:eastAsia="Arial Unicode MS"/>
          <w:color w:val="auto"/>
          <w:sz w:val="20"/>
          <w:szCs w:val="20"/>
        </w:rPr>
        <w:t xml:space="preserve"> </w:t>
      </w:r>
      <w:r w:rsidRPr="00D31AE4">
        <w:rPr>
          <w:rFonts w:eastAsia="Arial Unicode MS"/>
          <w:color w:val="auto"/>
          <w:sz w:val="20"/>
          <w:szCs w:val="20"/>
        </w:rPr>
        <w:t>avanzato, presenta una forte integrazione con i servizi tecnologici ed è ben predisposto</w:t>
      </w:r>
      <w:r>
        <w:rPr>
          <w:rFonts w:eastAsia="Arial Unicode MS"/>
          <w:color w:val="auto"/>
          <w:sz w:val="20"/>
          <w:szCs w:val="20"/>
        </w:rPr>
        <w:t xml:space="preserve"> </w:t>
      </w:r>
      <w:r w:rsidRPr="00D31AE4">
        <w:rPr>
          <w:rFonts w:eastAsia="Arial Unicode MS"/>
          <w:color w:val="auto"/>
          <w:sz w:val="20"/>
          <w:szCs w:val="20"/>
        </w:rPr>
        <w:t>all’internazionalizzazione.</w:t>
      </w:r>
    </w:p>
    <w:p w14:paraId="5C7FC27D" w14:textId="77777777" w:rsidR="00647765" w:rsidRDefault="00647765" w:rsidP="00D31AE4">
      <w:pPr>
        <w:rPr>
          <w:b/>
          <w:bCs/>
          <w:sz w:val="20"/>
          <w:szCs w:val="20"/>
        </w:rPr>
      </w:pPr>
    </w:p>
    <w:p w14:paraId="7CA71CB6" w14:textId="77777777" w:rsidR="007D6021" w:rsidRDefault="007D6021">
      <w:pPr>
        <w:pStyle w:val="Default"/>
        <w:jc w:val="both"/>
        <w:rPr>
          <w:rStyle w:val="Nessuno"/>
          <w:rFonts w:ascii="Times New Roman" w:eastAsia="Times New Roman" w:hAnsi="Times New Roman" w:cs="Times New Roman"/>
          <w:b/>
          <w:sz w:val="20"/>
          <w:szCs w:val="20"/>
        </w:rPr>
      </w:pPr>
    </w:p>
    <w:p w14:paraId="66430131" w14:textId="1BFB3D85" w:rsidR="005E6E0A" w:rsidRPr="00D9023A" w:rsidRDefault="001D0E50" w:rsidP="00891EF7">
      <w:pPr>
        <w:pStyle w:val="Default"/>
        <w:jc w:val="both"/>
        <w:rPr>
          <w:rFonts w:ascii="Times New Roman" w:eastAsia="Times New Roman" w:hAnsi="Times New Roman" w:cs="Times New Roman"/>
          <w:sz w:val="20"/>
          <w:szCs w:val="20"/>
        </w:rPr>
      </w:pPr>
      <w:r w:rsidRPr="001D0E50">
        <w:rPr>
          <w:rFonts w:ascii="Times New Roman" w:eastAsia="Times New Roman" w:hAnsi="Times New Roman" w:cs="Times New Roman"/>
          <w:b/>
          <w:bCs/>
          <w:sz w:val="20"/>
          <w:szCs w:val="20"/>
        </w:rPr>
        <w:t>Intesa Sanpaolo</w:t>
      </w:r>
      <w:r w:rsidRPr="001D0E50">
        <w:rPr>
          <w:rFonts w:ascii="Times New Roman" w:eastAsia="Times New Roman" w:hAnsi="Times New Roman" w:cs="Times New Roman"/>
          <w:sz w:val="20"/>
          <w:szCs w:val="20"/>
        </w:rPr>
        <w:t xml:space="preserve"> è il maggior gruppo bancario in Italia – punto di riferimento di famiglie, imprese e dell’economia reale – con una significativa presenza internazionale. Il business model distintivo di Intesa Sanpaolo la rende leader a livello europeo nel Wealth Management, Protection &amp; Advisory e ne caratterizza il forte orientamento al digitale e al fintech, in particolare con Isybank, la banca digitale del Gruppo. Una banca efficiente e resiliente, è capogruppo di fabbriche prodotto nell’asset management e nell’assicurazione. Il forte impegno in ambito ESG prevede, entro il 2025, 115 miliardi di euro di finanziamenti impact, destinati alla comunità e alla transizione verde, e contributi per 500 milioni a supporto delle persone in difficoltà, posizionando Intesa Sanpaolo ai vertici mondiali per impatto sociale. Intesa Sanpaolo ha assunto impegni Net Zero per le proprie emissioni entro il 2030 ed entro il 2050 per i portafogli prestiti e investimenti, l’asset management e l’attività assicurativa. Convinta sostenitrice della cultura italiana, ha sviluppato una rete museale, le Gallerie d’Italia, sede espositiva del patrimonio artistico della banca e di progetti artistici di riconosciuto valore.</w:t>
      </w:r>
    </w:p>
    <w:sectPr w:rsidR="005E6E0A" w:rsidRPr="00D9023A" w:rsidSect="004D2146">
      <w:headerReference w:type="default" r:id="rId10"/>
      <w:footerReference w:type="default" r:id="rId11"/>
      <w:headerReference w:type="first" r:id="rId12"/>
      <w:pgSz w:w="11900" w:h="16840"/>
      <w:pgMar w:top="567" w:right="1134" w:bottom="1135" w:left="1134" w:header="709" w:footer="709"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1B5098" w14:textId="77777777" w:rsidR="00590F87" w:rsidRDefault="00590F87">
      <w:r>
        <w:separator/>
      </w:r>
    </w:p>
  </w:endnote>
  <w:endnote w:type="continuationSeparator" w:id="0">
    <w:p w14:paraId="3D40A276" w14:textId="77777777" w:rsidR="00590F87" w:rsidRDefault="00590F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00000000" w:usb1="E9DFFFFF" w:usb2="0000003F" w:usb3="00000000" w:csb0="003F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altName w:val="Arial"/>
    <w:charset w:val="00"/>
    <w:family w:val="auto"/>
    <w:pitch w:val="variable"/>
    <w:sig w:usb0="E50002FF" w:usb1="500079DB" w:usb2="0000001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ED61EA" w14:textId="77777777" w:rsidR="00BB26CC" w:rsidRDefault="00F97000">
    <w:pPr>
      <w:pStyle w:val="Pidipagina"/>
      <w:tabs>
        <w:tab w:val="clear" w:pos="9638"/>
        <w:tab w:val="right" w:pos="9612"/>
      </w:tabs>
      <w:jc w:val="right"/>
    </w:pPr>
    <w:r>
      <w:fldChar w:fldCharType="begin"/>
    </w:r>
    <w:r>
      <w:instrText xml:space="preserve"> PAGE </w:instrText>
    </w:r>
    <w:r>
      <w:fldChar w:fldCharType="separate"/>
    </w:r>
    <w:r w:rsidR="00E44663">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0541AC" w14:textId="77777777" w:rsidR="00590F87" w:rsidRDefault="00590F87">
      <w:r>
        <w:separator/>
      </w:r>
    </w:p>
  </w:footnote>
  <w:footnote w:type="continuationSeparator" w:id="0">
    <w:p w14:paraId="2F9081C6" w14:textId="77777777" w:rsidR="00590F87" w:rsidRDefault="00590F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BE6D2C" w14:textId="26C02DC6" w:rsidR="004D2146" w:rsidRDefault="004D2146">
    <w:pPr>
      <w:pStyle w:val="Intestazione"/>
    </w:pPr>
    <w:r>
      <w:rPr>
        <w:noProof/>
      </w:rPr>
      <w:drawing>
        <wp:anchor distT="0" distB="0" distL="114300" distR="114300" simplePos="0" relativeHeight="251661312" behindDoc="0" locked="0" layoutInCell="1" allowOverlap="1" wp14:anchorId="53597A38" wp14:editId="364E5146">
          <wp:simplePos x="0" y="0"/>
          <wp:positionH relativeFrom="column">
            <wp:posOffset>4511040</wp:posOffset>
          </wp:positionH>
          <wp:positionV relativeFrom="paragraph">
            <wp:posOffset>-153035</wp:posOffset>
          </wp:positionV>
          <wp:extent cx="1527975" cy="634293"/>
          <wp:effectExtent l="0" t="0" r="0" b="1270"/>
          <wp:wrapNone/>
          <wp:docPr id="1" name="Immagine 1" descr="Immagine che contiene Carattere, Elementi grafici, design&#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Carattere, Elementi grafici, design&#10;&#10;Descrizione generata automaticamen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27975" cy="634293"/>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rPr>
      <w:drawing>
        <wp:inline distT="0" distB="0" distL="0" distR="0" wp14:anchorId="0342E1E7" wp14:editId="6DC615F9">
          <wp:extent cx="2244006" cy="316523"/>
          <wp:effectExtent l="0" t="0" r="4445" b="7620"/>
          <wp:docPr id="29" name="Immagine 29" descr="Immagine che contiene testo, Carattere, Elementi grafici,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testo, Carattere, Elementi grafici, logo&#10;&#10;Descrizione generata automaticamente"/>
                  <pic:cNvPicPr/>
                </pic:nvPicPr>
                <pic:blipFill>
                  <a:blip r:embed="rId2" cstate="print">
                    <a:extLst>
                      <a:ext uri="{28A0092B-C50C-407E-A947-70E740481C1C}">
                        <a14:useLocalDpi xmlns:a14="http://schemas.microsoft.com/office/drawing/2010/main" val="0"/>
                      </a:ext>
                    </a:extLst>
                  </a:blip>
                  <a:stretch>
                    <a:fillRect/>
                  </a:stretch>
                </pic:blipFill>
                <pic:spPr>
                  <a:xfrm>
                    <a:off x="0" y="0"/>
                    <a:ext cx="2359084" cy="332755"/>
                  </a:xfrm>
                  <a:prstGeom prst="rect">
                    <a:avLst/>
                  </a:prstGeom>
                </pic:spPr>
              </pic:pic>
            </a:graphicData>
          </a:graphic>
        </wp:inline>
      </w:drawing>
    </w:r>
  </w:p>
  <w:p w14:paraId="2C4847C2" w14:textId="77777777" w:rsidR="004D2146" w:rsidRDefault="004D2146">
    <w:pPr>
      <w:pStyle w:val="Intestazione"/>
    </w:pPr>
  </w:p>
  <w:p w14:paraId="49A97113" w14:textId="77777777" w:rsidR="004D2146" w:rsidRDefault="004D2146">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1C1ADA" w14:textId="0FA81615" w:rsidR="003872CD" w:rsidRDefault="004E4CC6">
    <w:pPr>
      <w:pStyle w:val="Intestazione"/>
    </w:pPr>
    <w:r>
      <w:rPr>
        <w:noProof/>
      </w:rPr>
      <w:drawing>
        <wp:anchor distT="0" distB="0" distL="114300" distR="114300" simplePos="0" relativeHeight="251659264" behindDoc="0" locked="0" layoutInCell="1" allowOverlap="1" wp14:anchorId="7A1364E3" wp14:editId="0FD5338D">
          <wp:simplePos x="0" y="0"/>
          <wp:positionH relativeFrom="column">
            <wp:posOffset>4602480</wp:posOffset>
          </wp:positionH>
          <wp:positionV relativeFrom="paragraph">
            <wp:posOffset>-194945</wp:posOffset>
          </wp:positionV>
          <wp:extent cx="1527975" cy="634293"/>
          <wp:effectExtent l="0" t="0" r="0" b="0"/>
          <wp:wrapNone/>
          <wp:docPr id="617661047" name="Immagine 617661047" descr="Immagine che contiene Carattere, Elementi grafici, design&#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Carattere, Elementi grafici, design&#10;&#10;Descrizione generata automaticamen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27975" cy="634293"/>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rPr>
      <w:drawing>
        <wp:inline distT="0" distB="0" distL="0" distR="0" wp14:anchorId="52B71A12" wp14:editId="5DD5B1DC">
          <wp:extent cx="2244006" cy="316523"/>
          <wp:effectExtent l="0" t="0" r="4445" b="7620"/>
          <wp:docPr id="1705578451" name="Immagine 1705578451" descr="Immagine che contiene testo, Carattere, Elementi grafici,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testo, Carattere, Elementi grafici, logo&#10;&#10;Descrizione generata automaticamente"/>
                  <pic:cNvPicPr/>
                </pic:nvPicPr>
                <pic:blipFill>
                  <a:blip r:embed="rId2" cstate="print">
                    <a:extLst>
                      <a:ext uri="{28A0092B-C50C-407E-A947-70E740481C1C}">
                        <a14:useLocalDpi xmlns:a14="http://schemas.microsoft.com/office/drawing/2010/main" val="0"/>
                      </a:ext>
                    </a:extLst>
                  </a:blip>
                  <a:stretch>
                    <a:fillRect/>
                  </a:stretch>
                </pic:blipFill>
                <pic:spPr>
                  <a:xfrm>
                    <a:off x="0" y="0"/>
                    <a:ext cx="2359084" cy="33275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087CAC"/>
    <w:multiLevelType w:val="hybridMultilevel"/>
    <w:tmpl w:val="3848822C"/>
    <w:styleLink w:val="Stileimportato1"/>
    <w:lvl w:ilvl="0" w:tplc="76F87056">
      <w:start w:val="1"/>
      <w:numFmt w:val="bullet"/>
      <w:lvlText w:val="·"/>
      <w:lvlJc w:val="left"/>
      <w:pPr>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42CE232">
      <w:start w:val="1"/>
      <w:numFmt w:val="bullet"/>
      <w:lvlText w:val="o"/>
      <w:lvlJc w:val="left"/>
      <w:pPr>
        <w:ind w:left="342" w:hanging="342"/>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1F8CADA2">
      <w:start w:val="1"/>
      <w:numFmt w:val="bullet"/>
      <w:lvlText w:val="▪"/>
      <w:lvlJc w:val="left"/>
      <w:pPr>
        <w:ind w:left="330" w:hanging="33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CDA8589C">
      <w:start w:val="1"/>
      <w:numFmt w:val="bullet"/>
      <w:lvlText w:val="·"/>
      <w:lvlJc w:val="left"/>
      <w:pPr>
        <w:ind w:left="318" w:hanging="318"/>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C758EEF6">
      <w:start w:val="1"/>
      <w:numFmt w:val="bullet"/>
      <w:lvlText w:val="o"/>
      <w:lvlJc w:val="left"/>
      <w:pPr>
        <w:ind w:left="306" w:hanging="306"/>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914BFF8">
      <w:start w:val="1"/>
      <w:numFmt w:val="bullet"/>
      <w:lvlText w:val="▪"/>
      <w:lvlJc w:val="left"/>
      <w:pPr>
        <w:ind w:left="294" w:hanging="294"/>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FDE4B556">
      <w:start w:val="1"/>
      <w:numFmt w:val="bullet"/>
      <w:lvlText w:val="·"/>
      <w:lvlJc w:val="left"/>
      <w:pPr>
        <w:ind w:left="282" w:hanging="282"/>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473079F6">
      <w:start w:val="1"/>
      <w:numFmt w:val="bullet"/>
      <w:lvlText w:val="o"/>
      <w:lvlJc w:val="left"/>
      <w:pPr>
        <w:ind w:left="708" w:hanging="27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3D5C3B9C">
      <w:start w:val="1"/>
      <w:numFmt w:val="bullet"/>
      <w:lvlText w:val="▪"/>
      <w:lvlJc w:val="left"/>
      <w:pPr>
        <w:ind w:left="1416" w:hanging="258"/>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 w15:restartNumberingAfterBreak="0">
    <w:nsid w:val="176D59FD"/>
    <w:multiLevelType w:val="hybridMultilevel"/>
    <w:tmpl w:val="F5E86E6C"/>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2" w15:restartNumberingAfterBreak="0">
    <w:nsid w:val="3F0E2CFA"/>
    <w:multiLevelType w:val="hybridMultilevel"/>
    <w:tmpl w:val="3848822C"/>
    <w:numStyleLink w:val="Stileimportato1"/>
  </w:abstractNum>
  <w:abstractNum w:abstractNumId="3" w15:restartNumberingAfterBreak="0">
    <w:nsid w:val="4BBD4D66"/>
    <w:multiLevelType w:val="hybridMultilevel"/>
    <w:tmpl w:val="2CA62840"/>
    <w:lvl w:ilvl="0" w:tplc="C8748F66">
      <w:start w:val="1"/>
      <w:numFmt w:val="bullet"/>
      <w:lvlText w:val="-"/>
      <w:lvlJc w:val="left"/>
      <w:pPr>
        <w:ind w:left="720" w:hanging="360"/>
      </w:pPr>
      <w:rPr>
        <w:rFonts w:ascii="Arial" w:hAnsi="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57D837E3"/>
    <w:multiLevelType w:val="multilevel"/>
    <w:tmpl w:val="34A4C08C"/>
    <w:lvl w:ilvl="0">
      <w:start w:val="1"/>
      <w:numFmt w:val="bullet"/>
      <w:lvlText w:val=""/>
      <w:lvlJc w:val="left"/>
      <w:pPr>
        <w:tabs>
          <w:tab w:val="left" w:pos="288"/>
        </w:tabs>
      </w:pPr>
      <w:rPr>
        <w:rFonts w:ascii="Symbol" w:hAnsi="Symbol" w:hint="default"/>
        <w:strike w:val="0"/>
        <w:color w:val="000000"/>
        <w:spacing w:val="0"/>
        <w:w w:val="100"/>
        <w:sz w:val="21"/>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F8F2B3D"/>
    <w:multiLevelType w:val="hybridMultilevel"/>
    <w:tmpl w:val="D932E3DC"/>
    <w:lvl w:ilvl="0" w:tplc="0BBC7B5E">
      <w:numFmt w:val="bullet"/>
      <w:lvlText w:val="-"/>
      <w:lvlJc w:val="left"/>
      <w:pPr>
        <w:ind w:left="720" w:hanging="360"/>
      </w:pPr>
      <w:rPr>
        <w:rFonts w:ascii="Times New Roman" w:eastAsia="Calibr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62E9421B"/>
    <w:multiLevelType w:val="hybridMultilevel"/>
    <w:tmpl w:val="4B5A2004"/>
    <w:lvl w:ilvl="0" w:tplc="0BBC7B5E">
      <w:numFmt w:val="bullet"/>
      <w:lvlText w:val="-"/>
      <w:lvlJc w:val="left"/>
      <w:pPr>
        <w:ind w:left="720" w:hanging="360"/>
      </w:pPr>
      <w:rPr>
        <w:rFonts w:ascii="Times New Roman" w:eastAsia="Calibr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7787450E"/>
    <w:multiLevelType w:val="hybridMultilevel"/>
    <w:tmpl w:val="CC32220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825314418">
    <w:abstractNumId w:val="0"/>
  </w:num>
  <w:num w:numId="2" w16cid:durableId="1915356998">
    <w:abstractNumId w:val="2"/>
  </w:num>
  <w:num w:numId="3" w16cid:durableId="1612518132">
    <w:abstractNumId w:val="4"/>
  </w:num>
  <w:num w:numId="4" w16cid:durableId="1539471639">
    <w:abstractNumId w:val="3"/>
  </w:num>
  <w:num w:numId="5" w16cid:durableId="62921310">
    <w:abstractNumId w:val="6"/>
  </w:num>
  <w:num w:numId="6" w16cid:durableId="1227111392">
    <w:abstractNumId w:val="5"/>
  </w:num>
  <w:num w:numId="7" w16cid:durableId="1971978954">
    <w:abstractNumId w:val="1"/>
  </w:num>
  <w:num w:numId="8" w16cid:durableId="134685922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efaultTabStop w:val="708"/>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6CC"/>
    <w:rsid w:val="00006028"/>
    <w:rsid w:val="00012CB2"/>
    <w:rsid w:val="000253A2"/>
    <w:rsid w:val="000356BC"/>
    <w:rsid w:val="00047781"/>
    <w:rsid w:val="000539EB"/>
    <w:rsid w:val="00060553"/>
    <w:rsid w:val="000605FE"/>
    <w:rsid w:val="00066C09"/>
    <w:rsid w:val="00091C16"/>
    <w:rsid w:val="00096E43"/>
    <w:rsid w:val="000A1126"/>
    <w:rsid w:val="000A354C"/>
    <w:rsid w:val="000A6BF2"/>
    <w:rsid w:val="000C5EBC"/>
    <w:rsid w:val="000C7F95"/>
    <w:rsid w:val="000F2FD0"/>
    <w:rsid w:val="000F5E89"/>
    <w:rsid w:val="001006BB"/>
    <w:rsid w:val="00112752"/>
    <w:rsid w:val="00116F15"/>
    <w:rsid w:val="00122236"/>
    <w:rsid w:val="001229F3"/>
    <w:rsid w:val="001407E7"/>
    <w:rsid w:val="00146D71"/>
    <w:rsid w:val="00147934"/>
    <w:rsid w:val="0015011B"/>
    <w:rsid w:val="0015160E"/>
    <w:rsid w:val="00151D95"/>
    <w:rsid w:val="0015249B"/>
    <w:rsid w:val="00161E77"/>
    <w:rsid w:val="00162180"/>
    <w:rsid w:val="001651D4"/>
    <w:rsid w:val="00165BDA"/>
    <w:rsid w:val="00170A8F"/>
    <w:rsid w:val="00171224"/>
    <w:rsid w:val="001726BA"/>
    <w:rsid w:val="0018011A"/>
    <w:rsid w:val="001861DA"/>
    <w:rsid w:val="001865CA"/>
    <w:rsid w:val="00186EFB"/>
    <w:rsid w:val="0019418E"/>
    <w:rsid w:val="001A4CBF"/>
    <w:rsid w:val="001B1F09"/>
    <w:rsid w:val="001B3383"/>
    <w:rsid w:val="001B5072"/>
    <w:rsid w:val="001B690B"/>
    <w:rsid w:val="001B6935"/>
    <w:rsid w:val="001D0E50"/>
    <w:rsid w:val="001E52D6"/>
    <w:rsid w:val="001E53E3"/>
    <w:rsid w:val="001E7160"/>
    <w:rsid w:val="001F6BF7"/>
    <w:rsid w:val="00205E47"/>
    <w:rsid w:val="00206759"/>
    <w:rsid w:val="00213637"/>
    <w:rsid w:val="00213D9E"/>
    <w:rsid w:val="00217FA6"/>
    <w:rsid w:val="00220860"/>
    <w:rsid w:val="002209D4"/>
    <w:rsid w:val="002237CF"/>
    <w:rsid w:val="002301C6"/>
    <w:rsid w:val="002315E2"/>
    <w:rsid w:val="002336A7"/>
    <w:rsid w:val="00234E70"/>
    <w:rsid w:val="00235932"/>
    <w:rsid w:val="00235A90"/>
    <w:rsid w:val="00242AFC"/>
    <w:rsid w:val="00244648"/>
    <w:rsid w:val="0024561B"/>
    <w:rsid w:val="00254170"/>
    <w:rsid w:val="00270C51"/>
    <w:rsid w:val="0027541E"/>
    <w:rsid w:val="00276336"/>
    <w:rsid w:val="002869DC"/>
    <w:rsid w:val="002912F2"/>
    <w:rsid w:val="00293052"/>
    <w:rsid w:val="00293303"/>
    <w:rsid w:val="0029573C"/>
    <w:rsid w:val="002A010B"/>
    <w:rsid w:val="002A4302"/>
    <w:rsid w:val="002B527C"/>
    <w:rsid w:val="002C581B"/>
    <w:rsid w:val="002D08D0"/>
    <w:rsid w:val="002D34BF"/>
    <w:rsid w:val="002D38D1"/>
    <w:rsid w:val="002E4D9A"/>
    <w:rsid w:val="002E5146"/>
    <w:rsid w:val="002E5E39"/>
    <w:rsid w:val="00315699"/>
    <w:rsid w:val="00325E41"/>
    <w:rsid w:val="00343700"/>
    <w:rsid w:val="00357549"/>
    <w:rsid w:val="00357B4A"/>
    <w:rsid w:val="0036395B"/>
    <w:rsid w:val="0036579C"/>
    <w:rsid w:val="00366CA8"/>
    <w:rsid w:val="00372B9E"/>
    <w:rsid w:val="003731E4"/>
    <w:rsid w:val="003851A6"/>
    <w:rsid w:val="003872CD"/>
    <w:rsid w:val="003900C1"/>
    <w:rsid w:val="003A23D7"/>
    <w:rsid w:val="003B5A33"/>
    <w:rsid w:val="003C46B2"/>
    <w:rsid w:val="003C540C"/>
    <w:rsid w:val="003C65C2"/>
    <w:rsid w:val="003D5609"/>
    <w:rsid w:val="003D7F5C"/>
    <w:rsid w:val="003E2E2B"/>
    <w:rsid w:val="00400CAB"/>
    <w:rsid w:val="00404E03"/>
    <w:rsid w:val="004057B3"/>
    <w:rsid w:val="00407159"/>
    <w:rsid w:val="004219C5"/>
    <w:rsid w:val="00432042"/>
    <w:rsid w:val="00434D33"/>
    <w:rsid w:val="00440EA0"/>
    <w:rsid w:val="00441E57"/>
    <w:rsid w:val="004436A1"/>
    <w:rsid w:val="004438FA"/>
    <w:rsid w:val="004513E4"/>
    <w:rsid w:val="00460CCA"/>
    <w:rsid w:val="00466AF9"/>
    <w:rsid w:val="00470207"/>
    <w:rsid w:val="00470CAA"/>
    <w:rsid w:val="004864D8"/>
    <w:rsid w:val="004A478B"/>
    <w:rsid w:val="004A4969"/>
    <w:rsid w:val="004B1446"/>
    <w:rsid w:val="004B2215"/>
    <w:rsid w:val="004B4239"/>
    <w:rsid w:val="004B5BF2"/>
    <w:rsid w:val="004C60A5"/>
    <w:rsid w:val="004D1F9C"/>
    <w:rsid w:val="004D2146"/>
    <w:rsid w:val="004D634A"/>
    <w:rsid w:val="004D7902"/>
    <w:rsid w:val="004E2047"/>
    <w:rsid w:val="004E384C"/>
    <w:rsid w:val="004E41D2"/>
    <w:rsid w:val="004E4CC6"/>
    <w:rsid w:val="004E68FB"/>
    <w:rsid w:val="00506ADD"/>
    <w:rsid w:val="005074B3"/>
    <w:rsid w:val="00517D2A"/>
    <w:rsid w:val="00527614"/>
    <w:rsid w:val="005337FD"/>
    <w:rsid w:val="00535831"/>
    <w:rsid w:val="00556483"/>
    <w:rsid w:val="005622B5"/>
    <w:rsid w:val="00566735"/>
    <w:rsid w:val="00567A0E"/>
    <w:rsid w:val="00577EC4"/>
    <w:rsid w:val="00585C0A"/>
    <w:rsid w:val="00590F87"/>
    <w:rsid w:val="005961E4"/>
    <w:rsid w:val="005B4EB9"/>
    <w:rsid w:val="005C2732"/>
    <w:rsid w:val="005C5F57"/>
    <w:rsid w:val="005D1692"/>
    <w:rsid w:val="005D6478"/>
    <w:rsid w:val="005E6E0A"/>
    <w:rsid w:val="005F0572"/>
    <w:rsid w:val="005F1775"/>
    <w:rsid w:val="005F30A7"/>
    <w:rsid w:val="005F4463"/>
    <w:rsid w:val="005F7FCB"/>
    <w:rsid w:val="00601912"/>
    <w:rsid w:val="00606B06"/>
    <w:rsid w:val="00610603"/>
    <w:rsid w:val="00627163"/>
    <w:rsid w:val="00630912"/>
    <w:rsid w:val="00636A67"/>
    <w:rsid w:val="00642E93"/>
    <w:rsid w:val="00644BB6"/>
    <w:rsid w:val="00645143"/>
    <w:rsid w:val="00647765"/>
    <w:rsid w:val="00655B3F"/>
    <w:rsid w:val="00656A04"/>
    <w:rsid w:val="00660599"/>
    <w:rsid w:val="006717E1"/>
    <w:rsid w:val="0068665B"/>
    <w:rsid w:val="006934DD"/>
    <w:rsid w:val="006B6F9C"/>
    <w:rsid w:val="006B7B37"/>
    <w:rsid w:val="006C1D66"/>
    <w:rsid w:val="006C254F"/>
    <w:rsid w:val="006C719C"/>
    <w:rsid w:val="006D2216"/>
    <w:rsid w:val="006D5324"/>
    <w:rsid w:val="006D5EF9"/>
    <w:rsid w:val="006E0708"/>
    <w:rsid w:val="006F568F"/>
    <w:rsid w:val="006F5859"/>
    <w:rsid w:val="00702693"/>
    <w:rsid w:val="00712033"/>
    <w:rsid w:val="0072279E"/>
    <w:rsid w:val="00725245"/>
    <w:rsid w:val="00745DE3"/>
    <w:rsid w:val="0075783A"/>
    <w:rsid w:val="00765F67"/>
    <w:rsid w:val="007720F0"/>
    <w:rsid w:val="00772ED1"/>
    <w:rsid w:val="007846D2"/>
    <w:rsid w:val="00787806"/>
    <w:rsid w:val="00787CE6"/>
    <w:rsid w:val="00790D00"/>
    <w:rsid w:val="00795C9E"/>
    <w:rsid w:val="007A47E0"/>
    <w:rsid w:val="007B418B"/>
    <w:rsid w:val="007B5386"/>
    <w:rsid w:val="007C1A41"/>
    <w:rsid w:val="007C513D"/>
    <w:rsid w:val="007C617A"/>
    <w:rsid w:val="007D29AB"/>
    <w:rsid w:val="007D3634"/>
    <w:rsid w:val="007D6021"/>
    <w:rsid w:val="007E5300"/>
    <w:rsid w:val="007F29D3"/>
    <w:rsid w:val="00824CC1"/>
    <w:rsid w:val="00832714"/>
    <w:rsid w:val="00833D41"/>
    <w:rsid w:val="0083529E"/>
    <w:rsid w:val="0084020A"/>
    <w:rsid w:val="0084130C"/>
    <w:rsid w:val="00841EA5"/>
    <w:rsid w:val="00843300"/>
    <w:rsid w:val="00845D68"/>
    <w:rsid w:val="0085063C"/>
    <w:rsid w:val="00851967"/>
    <w:rsid w:val="008555A9"/>
    <w:rsid w:val="00860E27"/>
    <w:rsid w:val="0086202B"/>
    <w:rsid w:val="00866E25"/>
    <w:rsid w:val="0087038B"/>
    <w:rsid w:val="00871CD9"/>
    <w:rsid w:val="008738E3"/>
    <w:rsid w:val="00873DAA"/>
    <w:rsid w:val="00880DAA"/>
    <w:rsid w:val="00883BDF"/>
    <w:rsid w:val="008844E1"/>
    <w:rsid w:val="00891EF7"/>
    <w:rsid w:val="008925AD"/>
    <w:rsid w:val="00892BCF"/>
    <w:rsid w:val="00896ACE"/>
    <w:rsid w:val="008975E1"/>
    <w:rsid w:val="008A5277"/>
    <w:rsid w:val="008B074F"/>
    <w:rsid w:val="008C4147"/>
    <w:rsid w:val="008D702E"/>
    <w:rsid w:val="008E1BAF"/>
    <w:rsid w:val="008F0665"/>
    <w:rsid w:val="008F3563"/>
    <w:rsid w:val="0090110A"/>
    <w:rsid w:val="00902AC7"/>
    <w:rsid w:val="009110A6"/>
    <w:rsid w:val="00911FA3"/>
    <w:rsid w:val="00917A3B"/>
    <w:rsid w:val="0092509E"/>
    <w:rsid w:val="00933AFA"/>
    <w:rsid w:val="0093447A"/>
    <w:rsid w:val="009349E8"/>
    <w:rsid w:val="0094014E"/>
    <w:rsid w:val="00952CBE"/>
    <w:rsid w:val="00953EBF"/>
    <w:rsid w:val="0096629C"/>
    <w:rsid w:val="00983360"/>
    <w:rsid w:val="00996A0E"/>
    <w:rsid w:val="00997ADA"/>
    <w:rsid w:val="009A6FAF"/>
    <w:rsid w:val="009B3C00"/>
    <w:rsid w:val="009B4032"/>
    <w:rsid w:val="009F2B66"/>
    <w:rsid w:val="00A028CE"/>
    <w:rsid w:val="00A0631E"/>
    <w:rsid w:val="00A07755"/>
    <w:rsid w:val="00A10C46"/>
    <w:rsid w:val="00A13017"/>
    <w:rsid w:val="00A16262"/>
    <w:rsid w:val="00A23025"/>
    <w:rsid w:val="00A24E00"/>
    <w:rsid w:val="00A25A23"/>
    <w:rsid w:val="00A30583"/>
    <w:rsid w:val="00A3738B"/>
    <w:rsid w:val="00A401C8"/>
    <w:rsid w:val="00A42A1D"/>
    <w:rsid w:val="00A43405"/>
    <w:rsid w:val="00A619A9"/>
    <w:rsid w:val="00A74D05"/>
    <w:rsid w:val="00A91DE1"/>
    <w:rsid w:val="00AA2A6D"/>
    <w:rsid w:val="00AA52C2"/>
    <w:rsid w:val="00AA753B"/>
    <w:rsid w:val="00AC2105"/>
    <w:rsid w:val="00AC49C2"/>
    <w:rsid w:val="00AD1658"/>
    <w:rsid w:val="00AD4940"/>
    <w:rsid w:val="00AD533A"/>
    <w:rsid w:val="00AE0C65"/>
    <w:rsid w:val="00AF0A7A"/>
    <w:rsid w:val="00B015AE"/>
    <w:rsid w:val="00B03E9B"/>
    <w:rsid w:val="00B10BA7"/>
    <w:rsid w:val="00B15DB9"/>
    <w:rsid w:val="00B168D3"/>
    <w:rsid w:val="00B25EFA"/>
    <w:rsid w:val="00B33721"/>
    <w:rsid w:val="00B37A75"/>
    <w:rsid w:val="00B40790"/>
    <w:rsid w:val="00B43997"/>
    <w:rsid w:val="00B46F19"/>
    <w:rsid w:val="00B5296B"/>
    <w:rsid w:val="00B55895"/>
    <w:rsid w:val="00B61B49"/>
    <w:rsid w:val="00B64B08"/>
    <w:rsid w:val="00B81008"/>
    <w:rsid w:val="00B833BD"/>
    <w:rsid w:val="00B86D1C"/>
    <w:rsid w:val="00B86D25"/>
    <w:rsid w:val="00B92F5B"/>
    <w:rsid w:val="00B9356D"/>
    <w:rsid w:val="00B96DE2"/>
    <w:rsid w:val="00BA35D9"/>
    <w:rsid w:val="00BB26CC"/>
    <w:rsid w:val="00BB7D74"/>
    <w:rsid w:val="00BC3880"/>
    <w:rsid w:val="00BC7D1A"/>
    <w:rsid w:val="00BE22A9"/>
    <w:rsid w:val="00BE2647"/>
    <w:rsid w:val="00BE4B0B"/>
    <w:rsid w:val="00BE57A0"/>
    <w:rsid w:val="00BE67F1"/>
    <w:rsid w:val="00BF23F6"/>
    <w:rsid w:val="00BF4631"/>
    <w:rsid w:val="00BF6A0A"/>
    <w:rsid w:val="00C04CCA"/>
    <w:rsid w:val="00C111DB"/>
    <w:rsid w:val="00C12732"/>
    <w:rsid w:val="00C223F4"/>
    <w:rsid w:val="00C24C88"/>
    <w:rsid w:val="00C35827"/>
    <w:rsid w:val="00C47C9E"/>
    <w:rsid w:val="00C547B3"/>
    <w:rsid w:val="00C6000A"/>
    <w:rsid w:val="00C62D5C"/>
    <w:rsid w:val="00C63F0A"/>
    <w:rsid w:val="00C70283"/>
    <w:rsid w:val="00C72E41"/>
    <w:rsid w:val="00C730B9"/>
    <w:rsid w:val="00C82256"/>
    <w:rsid w:val="00C86955"/>
    <w:rsid w:val="00C95D69"/>
    <w:rsid w:val="00CA2DC5"/>
    <w:rsid w:val="00CA38FB"/>
    <w:rsid w:val="00CB078A"/>
    <w:rsid w:val="00CB163A"/>
    <w:rsid w:val="00CB22AA"/>
    <w:rsid w:val="00CB24B1"/>
    <w:rsid w:val="00CB4961"/>
    <w:rsid w:val="00CC4AD3"/>
    <w:rsid w:val="00CC76BA"/>
    <w:rsid w:val="00CC77B8"/>
    <w:rsid w:val="00CC7A3B"/>
    <w:rsid w:val="00CD380A"/>
    <w:rsid w:val="00CF146A"/>
    <w:rsid w:val="00CF5084"/>
    <w:rsid w:val="00CF6CD2"/>
    <w:rsid w:val="00D0241D"/>
    <w:rsid w:val="00D03869"/>
    <w:rsid w:val="00D0648A"/>
    <w:rsid w:val="00D12652"/>
    <w:rsid w:val="00D2131C"/>
    <w:rsid w:val="00D22811"/>
    <w:rsid w:val="00D238C8"/>
    <w:rsid w:val="00D248C7"/>
    <w:rsid w:val="00D25C87"/>
    <w:rsid w:val="00D26E1F"/>
    <w:rsid w:val="00D31AE4"/>
    <w:rsid w:val="00D32750"/>
    <w:rsid w:val="00D32F2B"/>
    <w:rsid w:val="00D34B54"/>
    <w:rsid w:val="00D42715"/>
    <w:rsid w:val="00D42F04"/>
    <w:rsid w:val="00D433CB"/>
    <w:rsid w:val="00D47BF6"/>
    <w:rsid w:val="00D62D36"/>
    <w:rsid w:val="00D63F30"/>
    <w:rsid w:val="00D673DC"/>
    <w:rsid w:val="00D67BD9"/>
    <w:rsid w:val="00D716C9"/>
    <w:rsid w:val="00D76F1D"/>
    <w:rsid w:val="00D77B38"/>
    <w:rsid w:val="00D83A2A"/>
    <w:rsid w:val="00D85794"/>
    <w:rsid w:val="00D9023A"/>
    <w:rsid w:val="00D91901"/>
    <w:rsid w:val="00D96C21"/>
    <w:rsid w:val="00DA0836"/>
    <w:rsid w:val="00DD35A3"/>
    <w:rsid w:val="00DD5420"/>
    <w:rsid w:val="00DD6302"/>
    <w:rsid w:val="00DD648A"/>
    <w:rsid w:val="00DD7402"/>
    <w:rsid w:val="00DE2DF9"/>
    <w:rsid w:val="00DE3ED0"/>
    <w:rsid w:val="00DE6EF6"/>
    <w:rsid w:val="00DF1D6A"/>
    <w:rsid w:val="00E01FCC"/>
    <w:rsid w:val="00E1082B"/>
    <w:rsid w:val="00E15F82"/>
    <w:rsid w:val="00E27799"/>
    <w:rsid w:val="00E318E5"/>
    <w:rsid w:val="00E337F7"/>
    <w:rsid w:val="00E43299"/>
    <w:rsid w:val="00E44663"/>
    <w:rsid w:val="00E44874"/>
    <w:rsid w:val="00E47D77"/>
    <w:rsid w:val="00E51ADF"/>
    <w:rsid w:val="00E53B0C"/>
    <w:rsid w:val="00E65FBD"/>
    <w:rsid w:val="00E7112E"/>
    <w:rsid w:val="00E8573E"/>
    <w:rsid w:val="00E90199"/>
    <w:rsid w:val="00E90BBE"/>
    <w:rsid w:val="00E94981"/>
    <w:rsid w:val="00E95B43"/>
    <w:rsid w:val="00E97D88"/>
    <w:rsid w:val="00EA32D9"/>
    <w:rsid w:val="00EB1A2F"/>
    <w:rsid w:val="00EB6960"/>
    <w:rsid w:val="00EC020D"/>
    <w:rsid w:val="00EC4251"/>
    <w:rsid w:val="00EC732A"/>
    <w:rsid w:val="00ED3D04"/>
    <w:rsid w:val="00ED45DF"/>
    <w:rsid w:val="00EE2B9A"/>
    <w:rsid w:val="00EF5AFE"/>
    <w:rsid w:val="00F012BA"/>
    <w:rsid w:val="00F101FC"/>
    <w:rsid w:val="00F105E2"/>
    <w:rsid w:val="00F12FC2"/>
    <w:rsid w:val="00F20D10"/>
    <w:rsid w:val="00F26BE5"/>
    <w:rsid w:val="00F27E67"/>
    <w:rsid w:val="00F35720"/>
    <w:rsid w:val="00F6164C"/>
    <w:rsid w:val="00F654C4"/>
    <w:rsid w:val="00F736CC"/>
    <w:rsid w:val="00F73F28"/>
    <w:rsid w:val="00F807A7"/>
    <w:rsid w:val="00F97000"/>
    <w:rsid w:val="00FA1285"/>
    <w:rsid w:val="00FB0B44"/>
    <w:rsid w:val="00FB7989"/>
    <w:rsid w:val="00FD3163"/>
    <w:rsid w:val="00FD574F"/>
    <w:rsid w:val="00FE041C"/>
    <w:rsid w:val="00FE0AD5"/>
    <w:rsid w:val="00FE10AF"/>
    <w:rsid w:val="00FE5450"/>
    <w:rsid w:val="00FF507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3078A4"/>
  <w15:docId w15:val="{5CB0E35B-048D-45E3-A05D-A76F62D231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it-IT" w:eastAsia="it-IT"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eastAsia="Times New Roman"/>
      <w:color w:val="000000"/>
      <w:sz w:val="24"/>
      <w:szCs w:val="24"/>
      <w:u w:color="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Intestazioneepidipagina">
    <w:name w:val="Intestazione e piè di pagina"/>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Pidipagina">
    <w:name w:val="footer"/>
    <w:pPr>
      <w:tabs>
        <w:tab w:val="center" w:pos="4819"/>
        <w:tab w:val="right" w:pos="9638"/>
      </w:tabs>
    </w:pPr>
    <w:rPr>
      <w:rFonts w:cs="Arial Unicode MS"/>
      <w:color w:val="000000"/>
      <w:sz w:val="24"/>
      <w:szCs w:val="24"/>
      <w:u w:color="000000"/>
    </w:rPr>
  </w:style>
  <w:style w:type="character" w:styleId="Numeropagina">
    <w:name w:val="page number"/>
    <w:uiPriority w:val="99"/>
  </w:style>
  <w:style w:type="paragraph" w:styleId="Intestazione">
    <w:name w:val="header"/>
    <w:pPr>
      <w:tabs>
        <w:tab w:val="center" w:pos="4819"/>
        <w:tab w:val="right" w:pos="9638"/>
      </w:tabs>
    </w:pPr>
    <w:rPr>
      <w:rFonts w:cs="Arial Unicode MS"/>
      <w:color w:val="000000"/>
      <w:sz w:val="24"/>
      <w:szCs w:val="24"/>
      <w:u w:color="000000"/>
      <w14:textOutline w14:w="0" w14:cap="flat" w14:cmpd="sng" w14:algn="ctr">
        <w14:noFill/>
        <w14:prstDash w14:val="solid"/>
        <w14:bevel/>
      </w14:textOutline>
    </w:rPr>
  </w:style>
  <w:style w:type="numbering" w:customStyle="1" w:styleId="Stileimportato1">
    <w:name w:val="Stile importato 1"/>
    <w:pPr>
      <w:numPr>
        <w:numId w:val="1"/>
      </w:numPr>
    </w:pPr>
  </w:style>
  <w:style w:type="paragraph" w:customStyle="1" w:styleId="Default">
    <w:name w:val="Default"/>
    <w:rPr>
      <w:rFonts w:ascii="Calibri" w:hAnsi="Calibri" w:cs="Arial Unicode MS"/>
      <w:color w:val="000000"/>
      <w:sz w:val="24"/>
      <w:szCs w:val="24"/>
      <w:u w:color="000000"/>
    </w:rPr>
  </w:style>
  <w:style w:type="paragraph" w:styleId="Testonormale">
    <w:name w:val="Plain Text"/>
    <w:rPr>
      <w:rFonts w:ascii="Calibri" w:hAnsi="Calibri" w:cs="Arial Unicode MS"/>
      <w:color w:val="000000"/>
      <w:sz w:val="22"/>
      <w:szCs w:val="22"/>
      <w:u w:color="000000"/>
    </w:rPr>
  </w:style>
  <w:style w:type="character" w:customStyle="1" w:styleId="Nessuno">
    <w:name w:val="Nessuno"/>
  </w:style>
  <w:style w:type="character" w:customStyle="1" w:styleId="Hyperlink0">
    <w:name w:val="Hyperlink.0"/>
    <w:basedOn w:val="Nessuno"/>
    <w:rPr>
      <w:rFonts w:ascii="Arial" w:eastAsia="Arial" w:hAnsi="Arial" w:cs="Arial"/>
      <w:color w:val="0000FF"/>
      <w:sz w:val="18"/>
      <w:szCs w:val="18"/>
      <w:u w:val="single" w:color="0000FF"/>
      <w14:textOutline w14:w="0" w14:cap="rnd" w14:cmpd="sng" w14:algn="ctr">
        <w14:noFill/>
        <w14:prstDash w14:val="solid"/>
        <w14:bevel/>
      </w14:textOutline>
    </w:rPr>
  </w:style>
  <w:style w:type="paragraph" w:styleId="Testocommento">
    <w:name w:val="annotation text"/>
    <w:basedOn w:val="Normale"/>
    <w:link w:val="TestocommentoCarattere"/>
    <w:rsid w:val="00933AFA"/>
    <w:pPr>
      <w:pBdr>
        <w:top w:val="none" w:sz="0" w:space="0" w:color="auto"/>
        <w:left w:val="none" w:sz="0" w:space="0" w:color="auto"/>
        <w:bottom w:val="none" w:sz="0" w:space="0" w:color="auto"/>
        <w:right w:val="none" w:sz="0" w:space="0" w:color="auto"/>
        <w:between w:val="none" w:sz="0" w:space="0" w:color="auto"/>
        <w:bar w:val="none" w:sz="0" w:color="auto"/>
      </w:pBdr>
    </w:pPr>
    <w:rPr>
      <w:color w:val="auto"/>
      <w:sz w:val="20"/>
      <w:szCs w:val="20"/>
      <w:bdr w:val="none" w:sz="0" w:space="0" w:color="auto"/>
    </w:rPr>
  </w:style>
  <w:style w:type="character" w:customStyle="1" w:styleId="TestocommentoCarattere">
    <w:name w:val="Testo commento Carattere"/>
    <w:basedOn w:val="Carpredefinitoparagrafo"/>
    <w:link w:val="Testocommento"/>
    <w:rsid w:val="00933AFA"/>
    <w:rPr>
      <w:rFonts w:eastAsia="Times New Roman"/>
      <w:bdr w:val="none" w:sz="0" w:space="0" w:color="auto"/>
    </w:rPr>
  </w:style>
  <w:style w:type="table" w:styleId="Grigliatabella">
    <w:name w:val="Table Grid"/>
    <w:basedOn w:val="Tabellanormale"/>
    <w:uiPriority w:val="39"/>
    <w:rsid w:val="00D857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eWeb">
    <w:name w:val="Normal (Web)"/>
    <w:basedOn w:val="Normale"/>
    <w:uiPriority w:val="99"/>
    <w:semiHidden/>
    <w:unhideWhenUsed/>
    <w:rsid w:val="0029573C"/>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ascii="Calibri" w:eastAsiaTheme="minorHAnsi" w:hAnsi="Calibri" w:cs="Calibri"/>
      <w:color w:val="auto"/>
      <w:sz w:val="22"/>
      <w:szCs w:val="22"/>
      <w:bdr w:val="none" w:sz="0" w:space="0" w:color="auto"/>
    </w:rPr>
  </w:style>
  <w:style w:type="paragraph" w:styleId="Paragrafoelenco">
    <w:name w:val="List Paragraph"/>
    <w:basedOn w:val="Normale"/>
    <w:uiPriority w:val="34"/>
    <w:qFormat/>
    <w:rsid w:val="00601912"/>
    <w:pPr>
      <w:ind w:left="720"/>
      <w:contextualSpacing/>
    </w:pPr>
  </w:style>
  <w:style w:type="paragraph" w:styleId="Testofumetto">
    <w:name w:val="Balloon Text"/>
    <w:basedOn w:val="Normale"/>
    <w:link w:val="TestofumettoCarattere"/>
    <w:uiPriority w:val="99"/>
    <w:semiHidden/>
    <w:unhideWhenUsed/>
    <w:rsid w:val="00787CE6"/>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87CE6"/>
    <w:rPr>
      <w:rFonts w:ascii="Tahoma" w:eastAsia="Times New Roman" w:hAnsi="Tahoma" w:cs="Tahoma"/>
      <w:color w:val="000000"/>
      <w:sz w:val="16"/>
      <w:szCs w:val="16"/>
      <w:u w:color="000000"/>
    </w:rPr>
  </w:style>
  <w:style w:type="character" w:customStyle="1" w:styleId="bumpedfont15">
    <w:name w:val="bumpedfont15"/>
    <w:basedOn w:val="Carpredefinitoparagrafo"/>
    <w:rsid w:val="00470C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2814462">
      <w:bodyDiv w:val="1"/>
      <w:marLeft w:val="0"/>
      <w:marRight w:val="0"/>
      <w:marTop w:val="0"/>
      <w:marBottom w:val="0"/>
      <w:divBdr>
        <w:top w:val="none" w:sz="0" w:space="0" w:color="auto"/>
        <w:left w:val="none" w:sz="0" w:space="0" w:color="auto"/>
        <w:bottom w:val="none" w:sz="0" w:space="0" w:color="auto"/>
        <w:right w:val="none" w:sz="0" w:space="0" w:color="auto"/>
      </w:divBdr>
    </w:div>
    <w:div w:id="625545442">
      <w:bodyDiv w:val="1"/>
      <w:marLeft w:val="0"/>
      <w:marRight w:val="0"/>
      <w:marTop w:val="0"/>
      <w:marBottom w:val="0"/>
      <w:divBdr>
        <w:top w:val="none" w:sz="0" w:space="0" w:color="auto"/>
        <w:left w:val="none" w:sz="0" w:space="0" w:color="auto"/>
        <w:bottom w:val="none" w:sz="0" w:space="0" w:color="auto"/>
        <w:right w:val="none" w:sz="0" w:space="0" w:color="auto"/>
      </w:divBdr>
    </w:div>
    <w:div w:id="929779249">
      <w:bodyDiv w:val="1"/>
      <w:marLeft w:val="0"/>
      <w:marRight w:val="0"/>
      <w:marTop w:val="0"/>
      <w:marBottom w:val="0"/>
      <w:divBdr>
        <w:top w:val="none" w:sz="0" w:space="0" w:color="auto"/>
        <w:left w:val="none" w:sz="0" w:space="0" w:color="auto"/>
        <w:bottom w:val="none" w:sz="0" w:space="0" w:color="auto"/>
        <w:right w:val="none" w:sz="0" w:space="0" w:color="auto"/>
      </w:divBdr>
    </w:div>
    <w:div w:id="1689022959">
      <w:bodyDiv w:val="1"/>
      <w:marLeft w:val="0"/>
      <w:marRight w:val="0"/>
      <w:marTop w:val="0"/>
      <w:marBottom w:val="0"/>
      <w:divBdr>
        <w:top w:val="none" w:sz="0" w:space="0" w:color="auto"/>
        <w:left w:val="none" w:sz="0" w:space="0" w:color="auto"/>
        <w:bottom w:val="none" w:sz="0" w:space="0" w:color="auto"/>
        <w:right w:val="none" w:sz="0" w:space="0" w:color="auto"/>
      </w:divBdr>
    </w:div>
    <w:div w:id="20961232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ampa@intesasanpaolo.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group.intesasanpaolo.com/it/sala-stampa/news"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Neue"/>
        <a:ea typeface="Helvetica Neue"/>
        <a:cs typeface="Helvetica Neue"/>
      </a:majorFont>
      <a:minorFont>
        <a:latin typeface="Helvetica Neue"/>
        <a:ea typeface="Helvetica Neue"/>
        <a:cs typeface="Helvetica Neu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3A670D-96D8-43EF-8632-B8B1AA58AF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1313</Words>
  <Characters>7486</Characters>
  <Application>Microsoft Office Word</Application>
  <DocSecurity>4</DocSecurity>
  <Lines>62</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CIRILLO ROSALIA</dc:creator>
  <cp:keywords/>
  <dc:description/>
  <cp:lastModifiedBy>Rossana Pecchi</cp:lastModifiedBy>
  <cp:revision>2</cp:revision>
  <cp:lastPrinted>2020-11-30T08:11:00Z</cp:lastPrinted>
  <dcterms:created xsi:type="dcterms:W3CDTF">2023-07-11T12:09:00Z</dcterms:created>
  <dcterms:modified xsi:type="dcterms:W3CDTF">2023-07-11T12:09:00Z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f5fe31f-9de1-4167-a753-111c0df8115f_Enabled">
    <vt:lpwstr>true</vt:lpwstr>
  </property>
  <property fmtid="{D5CDD505-2E9C-101B-9397-08002B2CF9AE}" pid="3" name="MSIP_Label_5f5fe31f-9de1-4167-a753-111c0df8115f_SetDate">
    <vt:lpwstr>2023-07-03T10:07:56Z</vt:lpwstr>
  </property>
  <property fmtid="{D5CDD505-2E9C-101B-9397-08002B2CF9AE}" pid="4" name="MSIP_Label_5f5fe31f-9de1-4167-a753-111c0df8115f_Method">
    <vt:lpwstr>Standard</vt:lpwstr>
  </property>
  <property fmtid="{D5CDD505-2E9C-101B-9397-08002B2CF9AE}" pid="5" name="MSIP_Label_5f5fe31f-9de1-4167-a753-111c0df8115f_Name">
    <vt:lpwstr>5f5fe31f-9de1-4167-a753-111c0df8115f</vt:lpwstr>
  </property>
  <property fmtid="{D5CDD505-2E9C-101B-9397-08002B2CF9AE}" pid="6" name="MSIP_Label_5f5fe31f-9de1-4167-a753-111c0df8115f_SiteId">
    <vt:lpwstr>cc4baf00-15c9-48dd-9f59-88c98bde2be7</vt:lpwstr>
  </property>
  <property fmtid="{D5CDD505-2E9C-101B-9397-08002B2CF9AE}" pid="7" name="MSIP_Label_5f5fe31f-9de1-4167-a753-111c0df8115f_ActionId">
    <vt:lpwstr>b9602576-1903-47b9-9b67-192b7ec2e654</vt:lpwstr>
  </property>
  <property fmtid="{D5CDD505-2E9C-101B-9397-08002B2CF9AE}" pid="8" name="MSIP_Label_5f5fe31f-9de1-4167-a753-111c0df8115f_ContentBits">
    <vt:lpwstr>0</vt:lpwstr>
  </property>
</Properties>
</file>